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3B12">
      <w:pPr>
        <w:keepNext w:val="0"/>
        <w:keepLines w:val="0"/>
        <w:pageBreakBefore w:val="0"/>
        <w:widowControl/>
        <w:kinsoku w:val="0"/>
        <w:wordWrap/>
        <w:overflowPunct/>
        <w:topLinePunct w:val="0"/>
        <w:autoSpaceDE w:val="0"/>
        <w:autoSpaceDN w:val="0"/>
        <w:bidi w:val="0"/>
        <w:adjustRightInd w:val="0"/>
        <w:snapToGrid w:val="0"/>
        <w:spacing w:before="153" w:line="700" w:lineRule="exact"/>
        <w:ind w:right="74"/>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40"/>
          <w:sz w:val="44"/>
          <w:szCs w:val="44"/>
        </w:rPr>
        <w:t>天津市财政局关于转发《财政部关于委托第三</w:t>
      </w:r>
      <w:r>
        <w:rPr>
          <w:rFonts w:hint="eastAsia" w:ascii="方正小标宋_GBK" w:hAnsi="方正小标宋_GBK" w:eastAsia="方正小标宋_GBK" w:cs="方正小标宋_GBK"/>
          <w:b w:val="0"/>
          <w:bCs w:val="0"/>
          <w:spacing w:val="-38"/>
          <w:sz w:val="44"/>
          <w:szCs w:val="44"/>
        </w:rPr>
        <w:t>方机构参与预算绩效管理的指导意见》的通知</w:t>
      </w:r>
    </w:p>
    <w:p w14:paraId="15F70A13">
      <w:pPr>
        <w:pStyle w:val="2"/>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小标宋_GBK" w:hAnsi="方正小标宋_GBK" w:eastAsia="方正小标宋_GBK" w:cs="方正小标宋_GBK"/>
          <w:b w:val="0"/>
          <w:bCs w:val="0"/>
        </w:rPr>
      </w:pPr>
    </w:p>
    <w:p w14:paraId="7CAEC550">
      <w:pPr>
        <w:keepNext w:val="0"/>
        <w:keepLines w:val="0"/>
        <w:pageBreakBefore w:val="0"/>
        <w:widowControl/>
        <w:kinsoku w:val="0"/>
        <w:wordWrap/>
        <w:overflowPunct/>
        <w:topLinePunct w:val="0"/>
        <w:autoSpaceDE w:val="0"/>
        <w:autoSpaceDN w:val="0"/>
        <w:bidi w:val="0"/>
        <w:adjustRightInd w:val="0"/>
        <w:snapToGrid w:val="0"/>
        <w:spacing w:before="105" w:line="600" w:lineRule="exact"/>
        <w:jc w:val="both"/>
        <w:textAlignment w:val="baseline"/>
        <w:rPr>
          <w:rFonts w:ascii="仿宋" w:hAnsi="仿宋" w:eastAsia="仿宋" w:cs="仿宋"/>
          <w:sz w:val="32"/>
          <w:szCs w:val="32"/>
        </w:rPr>
      </w:pPr>
      <w:r>
        <w:rPr>
          <w:rFonts w:ascii="仿宋" w:hAnsi="仿宋" w:eastAsia="仿宋" w:cs="仿宋"/>
          <w:spacing w:val="-7"/>
          <w:sz w:val="32"/>
          <w:szCs w:val="32"/>
        </w:rPr>
        <w:t>各有关市级部门、各区财政局：</w:t>
      </w:r>
    </w:p>
    <w:p w14:paraId="371DDC06">
      <w:pPr>
        <w:keepNext w:val="0"/>
        <w:keepLines w:val="0"/>
        <w:pageBreakBefore w:val="0"/>
        <w:widowControl/>
        <w:kinsoku w:val="0"/>
        <w:wordWrap/>
        <w:overflowPunct/>
        <w:topLinePunct w:val="0"/>
        <w:autoSpaceDE w:val="0"/>
        <w:autoSpaceDN w:val="0"/>
        <w:bidi w:val="0"/>
        <w:adjustRightInd w:val="0"/>
        <w:snapToGrid w:val="0"/>
        <w:spacing w:before="200" w:line="600" w:lineRule="exact"/>
        <w:ind w:right="42" w:firstLine="620"/>
        <w:jc w:val="both"/>
        <w:textAlignment w:val="baseline"/>
        <w:rPr>
          <w:rFonts w:ascii="仿宋" w:hAnsi="仿宋" w:eastAsia="仿宋" w:cs="仿宋"/>
          <w:sz w:val="32"/>
          <w:szCs w:val="32"/>
        </w:rPr>
      </w:pPr>
      <w:r>
        <w:rPr>
          <w:rFonts w:ascii="仿宋" w:hAnsi="仿宋" w:eastAsia="仿宋" w:cs="仿宋"/>
          <w:spacing w:val="5"/>
          <w:sz w:val="32"/>
          <w:szCs w:val="32"/>
        </w:rPr>
        <w:t xml:space="preserve">为进一步规范和引导我市第三方机构参与预算绩效管理工 </w:t>
      </w:r>
      <w:r>
        <w:rPr>
          <w:rFonts w:ascii="仿宋" w:hAnsi="仿宋" w:eastAsia="仿宋" w:cs="仿宋"/>
          <w:spacing w:val="-7"/>
          <w:sz w:val="32"/>
          <w:szCs w:val="32"/>
        </w:rPr>
        <w:t>作，促进第三方机构提高服务质量和水平，</w:t>
      </w:r>
      <w:r>
        <w:rPr>
          <w:rFonts w:ascii="仿宋" w:hAnsi="仿宋" w:eastAsia="仿宋" w:cs="仿宋"/>
          <w:spacing w:val="-8"/>
          <w:sz w:val="32"/>
          <w:szCs w:val="32"/>
        </w:rPr>
        <w:t>现将《财政部关于委</w:t>
      </w:r>
      <w:r>
        <w:rPr>
          <w:rFonts w:ascii="仿宋" w:hAnsi="仿宋" w:eastAsia="仿宋" w:cs="仿宋"/>
          <w:sz w:val="32"/>
          <w:szCs w:val="32"/>
        </w:rPr>
        <w:t xml:space="preserve"> </w:t>
      </w:r>
      <w:r>
        <w:rPr>
          <w:rFonts w:ascii="仿宋" w:hAnsi="仿宋" w:eastAsia="仿宋" w:cs="仿宋"/>
          <w:spacing w:val="5"/>
          <w:sz w:val="32"/>
          <w:szCs w:val="32"/>
        </w:rPr>
        <w:t>托第三方机构参与预算绩效管理的指导意见》(财预〔20</w:t>
      </w:r>
      <w:r>
        <w:rPr>
          <w:rFonts w:ascii="仿宋" w:hAnsi="仿宋" w:eastAsia="仿宋" w:cs="仿宋"/>
          <w:spacing w:val="4"/>
          <w:sz w:val="32"/>
          <w:szCs w:val="32"/>
        </w:rPr>
        <w:t>21〕6</w:t>
      </w:r>
      <w:r>
        <w:rPr>
          <w:rFonts w:ascii="仿宋" w:hAnsi="仿宋" w:eastAsia="仿宋" w:cs="仿宋"/>
          <w:sz w:val="32"/>
          <w:szCs w:val="32"/>
        </w:rPr>
        <w:t xml:space="preserve"> </w:t>
      </w:r>
      <w:r>
        <w:rPr>
          <w:rFonts w:ascii="仿宋" w:hAnsi="仿宋" w:eastAsia="仿宋" w:cs="仿宋"/>
          <w:spacing w:val="-1"/>
          <w:sz w:val="32"/>
          <w:szCs w:val="32"/>
        </w:rPr>
        <w:t>号，以下简称《指导意见》)转发给你们，请认真贯彻落实</w:t>
      </w:r>
      <w:r>
        <w:rPr>
          <w:rFonts w:ascii="仿宋" w:hAnsi="仿宋" w:eastAsia="仿宋" w:cs="仿宋"/>
          <w:spacing w:val="-2"/>
          <w:sz w:val="32"/>
          <w:szCs w:val="32"/>
        </w:rPr>
        <w:t>，并</w:t>
      </w:r>
      <w:r>
        <w:rPr>
          <w:rFonts w:ascii="仿宋" w:hAnsi="仿宋" w:eastAsia="仿宋" w:cs="仿宋"/>
          <w:sz w:val="32"/>
          <w:szCs w:val="32"/>
        </w:rPr>
        <w:t xml:space="preserve"> </w:t>
      </w:r>
      <w:r>
        <w:rPr>
          <w:rFonts w:ascii="仿宋" w:hAnsi="仿宋" w:eastAsia="仿宋" w:cs="仿宋"/>
          <w:spacing w:val="-8"/>
          <w:sz w:val="32"/>
          <w:szCs w:val="32"/>
        </w:rPr>
        <w:t>结合我市实际情况提出以下工作要求：</w:t>
      </w:r>
    </w:p>
    <w:p w14:paraId="38F9A9B1">
      <w:pPr>
        <w:keepNext w:val="0"/>
        <w:keepLines w:val="0"/>
        <w:pageBreakBefore w:val="0"/>
        <w:widowControl/>
        <w:kinsoku w:val="0"/>
        <w:wordWrap/>
        <w:overflowPunct/>
        <w:topLinePunct w:val="0"/>
        <w:autoSpaceDE w:val="0"/>
        <w:autoSpaceDN w:val="0"/>
        <w:bidi w:val="0"/>
        <w:adjustRightInd w:val="0"/>
        <w:snapToGrid w:val="0"/>
        <w:spacing w:before="75" w:line="600" w:lineRule="exact"/>
        <w:ind w:left="624"/>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6"/>
          <w:sz w:val="32"/>
          <w:szCs w:val="32"/>
        </w:rPr>
        <w:t>一、严格履行委托事项的决策程序</w:t>
      </w:r>
    </w:p>
    <w:p w14:paraId="0CE77E2B">
      <w:pPr>
        <w:keepNext w:val="0"/>
        <w:keepLines w:val="0"/>
        <w:pageBreakBefore w:val="0"/>
        <w:widowControl/>
        <w:kinsoku w:val="0"/>
        <w:wordWrap/>
        <w:overflowPunct/>
        <w:topLinePunct w:val="0"/>
        <w:autoSpaceDE w:val="0"/>
        <w:autoSpaceDN w:val="0"/>
        <w:bidi w:val="0"/>
        <w:adjustRightInd w:val="0"/>
        <w:snapToGrid w:val="0"/>
        <w:spacing w:before="216" w:line="600" w:lineRule="exact"/>
        <w:ind w:firstLine="620"/>
        <w:jc w:val="both"/>
        <w:textAlignment w:val="baseline"/>
        <w:rPr>
          <w:rFonts w:ascii="仿宋" w:hAnsi="仿宋" w:eastAsia="仿宋" w:cs="仿宋"/>
          <w:sz w:val="32"/>
          <w:szCs w:val="32"/>
        </w:rPr>
      </w:pPr>
      <w:r>
        <w:rPr>
          <w:rFonts w:ascii="仿宋" w:hAnsi="仿宋" w:eastAsia="仿宋" w:cs="仿宋"/>
          <w:spacing w:val="7"/>
          <w:sz w:val="32"/>
          <w:szCs w:val="32"/>
        </w:rPr>
        <w:t>各部门各单位要严格按照“三重一大”决策程序要求和内</w:t>
      </w:r>
      <w:r>
        <w:rPr>
          <w:rFonts w:ascii="仿宋" w:hAnsi="仿宋" w:eastAsia="仿宋" w:cs="仿宋"/>
          <w:spacing w:val="5"/>
          <w:sz w:val="32"/>
          <w:szCs w:val="32"/>
        </w:rPr>
        <w:t xml:space="preserve"> </w:t>
      </w:r>
      <w:r>
        <w:rPr>
          <w:rFonts w:ascii="仿宋" w:hAnsi="仿宋" w:eastAsia="仿宋" w:cs="仿宋"/>
          <w:spacing w:val="-5"/>
          <w:sz w:val="32"/>
          <w:szCs w:val="32"/>
        </w:rPr>
        <w:t>部控制相关制度规定，有针对性的选取预算绩效管理委托事项，</w:t>
      </w:r>
    </w:p>
    <w:p w14:paraId="24C21D68">
      <w:pPr>
        <w:keepNext w:val="0"/>
        <w:keepLines w:val="0"/>
        <w:pageBreakBefore w:val="0"/>
        <w:widowControl/>
        <w:tabs>
          <w:tab w:val="left" w:pos="497"/>
        </w:tabs>
        <w:kinsoku w:val="0"/>
        <w:wordWrap/>
        <w:overflowPunct/>
        <w:topLinePunct w:val="0"/>
        <w:autoSpaceDE w:val="0"/>
        <w:autoSpaceDN w:val="0"/>
        <w:bidi w:val="0"/>
        <w:adjustRightInd w:val="0"/>
        <w:snapToGrid w:val="0"/>
        <w:spacing w:line="600" w:lineRule="exact"/>
        <w:jc w:val="both"/>
        <w:textAlignment w:val="baseline"/>
        <w:rPr>
          <w:rFonts w:ascii="仿宋" w:hAnsi="仿宋" w:eastAsia="仿宋" w:cs="仿宋"/>
          <w:sz w:val="32"/>
          <w:szCs w:val="32"/>
        </w:rPr>
      </w:pPr>
      <w:r>
        <w:rPr>
          <w:rFonts w:ascii="仿宋" w:hAnsi="仿宋" w:eastAsia="仿宋" w:cs="仿宋"/>
          <w:spacing w:val="2"/>
          <w:sz w:val="32"/>
          <w:szCs w:val="32"/>
        </w:rPr>
        <w:t>有甄别、有考量的引入第三方机构参与预算绩效管理，坚决杜绝</w:t>
      </w:r>
      <w:r>
        <w:rPr>
          <w:rFonts w:ascii="仿宋" w:hAnsi="仿宋" w:eastAsia="仿宋" w:cs="仿宋"/>
          <w:spacing w:val="7"/>
          <w:sz w:val="32"/>
          <w:szCs w:val="32"/>
        </w:rPr>
        <w:t xml:space="preserve"> </w:t>
      </w:r>
      <w:r>
        <w:rPr>
          <w:rFonts w:ascii="仿宋" w:hAnsi="仿宋" w:eastAsia="仿宋" w:cs="仿宋"/>
          <w:spacing w:val="2"/>
          <w:sz w:val="32"/>
          <w:szCs w:val="32"/>
        </w:rPr>
        <w:t>不分析、不梳理、不总结，完全将预算绩效管理工作全部委托给 第三方机构实施。同时，各部门各单位要坚决落实政府过紧日子</w:t>
      </w:r>
      <w:r>
        <w:rPr>
          <w:rFonts w:ascii="仿宋" w:hAnsi="仿宋" w:eastAsia="仿宋" w:cs="仿宋"/>
          <w:spacing w:val="3"/>
          <w:sz w:val="32"/>
          <w:szCs w:val="32"/>
        </w:rPr>
        <w:t xml:space="preserve"> </w:t>
      </w:r>
      <w:r>
        <w:rPr>
          <w:rFonts w:ascii="仿宋" w:hAnsi="仿宋" w:eastAsia="仿宋" w:cs="仿宋"/>
          <w:spacing w:val="2"/>
          <w:sz w:val="32"/>
          <w:szCs w:val="32"/>
        </w:rPr>
        <w:t>的要求，合理编制聘请第三方机构参与绩效管理的年度预算，从紧从严控制委托第三方机构的经费支出，注重发挥第三方机构在</w:t>
      </w:r>
      <w:r>
        <w:rPr>
          <w:rFonts w:ascii="仿宋" w:hAnsi="仿宋" w:eastAsia="仿宋" w:cs="仿宋"/>
          <w:spacing w:val="-11"/>
          <w:sz w:val="32"/>
          <w:szCs w:val="32"/>
        </w:rPr>
        <w:t>推动预算绩效管理过程中“四两拨千斤”的助推作用。</w:t>
      </w:r>
    </w:p>
    <w:p w14:paraId="753EACBB">
      <w:pPr>
        <w:keepNext w:val="0"/>
        <w:keepLines w:val="0"/>
        <w:pageBreakBefore w:val="0"/>
        <w:widowControl/>
        <w:kinsoku w:val="0"/>
        <w:wordWrap/>
        <w:overflowPunct/>
        <w:topLinePunct w:val="0"/>
        <w:autoSpaceDE w:val="0"/>
        <w:autoSpaceDN w:val="0"/>
        <w:bidi w:val="0"/>
        <w:adjustRightInd w:val="0"/>
        <w:snapToGrid w:val="0"/>
        <w:spacing w:before="42" w:line="600" w:lineRule="exact"/>
        <w:ind w:left="684"/>
        <w:jc w:val="both"/>
        <w:textAlignment w:val="baseline"/>
        <w:outlineLvl w:val="0"/>
        <w:rPr>
          <w:rFonts w:ascii="黑体" w:hAnsi="黑体" w:eastAsia="黑体" w:cs="黑体"/>
          <w:b w:val="0"/>
          <w:bCs w:val="0"/>
          <w:sz w:val="32"/>
          <w:szCs w:val="32"/>
        </w:rPr>
      </w:pPr>
      <w:r>
        <w:rPr>
          <w:rFonts w:ascii="黑体" w:hAnsi="黑体" w:eastAsia="黑体" w:cs="黑体"/>
          <w:b w:val="0"/>
          <w:bCs w:val="0"/>
          <w:spacing w:val="3"/>
          <w:sz w:val="32"/>
          <w:szCs w:val="32"/>
        </w:rPr>
        <w:t>二、严格落实第三方机构参与的范围</w:t>
      </w:r>
    </w:p>
    <w:p w14:paraId="6EA55C40">
      <w:pPr>
        <w:keepNext w:val="0"/>
        <w:keepLines w:val="0"/>
        <w:pageBreakBefore w:val="0"/>
        <w:widowControl/>
        <w:kinsoku w:val="0"/>
        <w:wordWrap/>
        <w:overflowPunct/>
        <w:topLinePunct w:val="0"/>
        <w:autoSpaceDE w:val="0"/>
        <w:autoSpaceDN w:val="0"/>
        <w:bidi w:val="0"/>
        <w:adjustRightInd w:val="0"/>
        <w:snapToGrid w:val="0"/>
        <w:spacing w:before="255" w:line="600" w:lineRule="exact"/>
        <w:ind w:firstLine="680"/>
        <w:jc w:val="both"/>
        <w:textAlignment w:val="baseline"/>
        <w:rPr>
          <w:rFonts w:ascii="仿宋" w:hAnsi="仿宋" w:eastAsia="仿宋" w:cs="仿宋"/>
          <w:sz w:val="32"/>
          <w:szCs w:val="32"/>
        </w:rPr>
      </w:pPr>
      <w:r>
        <w:rPr>
          <w:rFonts w:ascii="仿宋" w:hAnsi="仿宋" w:eastAsia="仿宋" w:cs="仿宋"/>
          <w:spacing w:val="1"/>
          <w:sz w:val="32"/>
          <w:szCs w:val="32"/>
        </w:rPr>
        <w:t>各部门各单位要严格按照《指导意见》明确的范围委托第三</w:t>
      </w:r>
      <w:r>
        <w:rPr>
          <w:rFonts w:ascii="仿宋" w:hAnsi="仿宋" w:eastAsia="仿宋" w:cs="仿宋"/>
          <w:spacing w:val="7"/>
          <w:sz w:val="32"/>
          <w:szCs w:val="32"/>
        </w:rPr>
        <w:t>方机构参与绩效管理工作，合理界定职责分工。对《指导</w:t>
      </w:r>
      <w:r>
        <w:rPr>
          <w:rFonts w:ascii="仿宋" w:hAnsi="仿宋" w:eastAsia="仿宋" w:cs="仿宋"/>
          <w:spacing w:val="6"/>
          <w:sz w:val="32"/>
          <w:szCs w:val="32"/>
        </w:rPr>
        <w:t>意见》</w:t>
      </w:r>
      <w:r>
        <w:rPr>
          <w:rFonts w:ascii="仿宋" w:hAnsi="仿宋" w:eastAsia="仿宋" w:cs="仿宋"/>
          <w:sz w:val="32"/>
          <w:szCs w:val="32"/>
        </w:rPr>
        <w:t xml:space="preserve"> </w:t>
      </w:r>
      <w:r>
        <w:rPr>
          <w:rFonts w:ascii="仿宋" w:hAnsi="仿宋" w:eastAsia="仿宋" w:cs="仿宋"/>
          <w:spacing w:val="1"/>
          <w:sz w:val="32"/>
          <w:szCs w:val="32"/>
        </w:rPr>
        <w:t xml:space="preserve">中禁止“预算部门或单位委托第三方机构对自身绩效管理工作开  </w:t>
      </w:r>
      <w:r>
        <w:rPr>
          <w:rFonts w:ascii="仿宋" w:hAnsi="仿宋" w:eastAsia="仿宋" w:cs="仿宋"/>
          <w:spacing w:val="-9"/>
          <w:sz w:val="32"/>
          <w:szCs w:val="32"/>
        </w:rPr>
        <w:t>展评价”的事项，不得以任何理由突破；对“绩效目标设定、绩效</w:t>
      </w:r>
      <w:r>
        <w:rPr>
          <w:rFonts w:ascii="仿宋" w:hAnsi="仿宋" w:eastAsia="仿宋" w:cs="仿宋"/>
          <w:spacing w:val="1"/>
          <w:sz w:val="32"/>
          <w:szCs w:val="32"/>
        </w:rPr>
        <w:t>运行监控、绩效自评等”属于部门或单位强化内部管理的事项，</w:t>
      </w:r>
      <w:r>
        <w:rPr>
          <w:rFonts w:ascii="仿宋" w:hAnsi="仿宋" w:eastAsia="仿宋" w:cs="仿宋"/>
          <w:spacing w:val="2"/>
          <w:sz w:val="32"/>
          <w:szCs w:val="32"/>
        </w:rPr>
        <w:t>原则上不得委托第三方机构开展，应通过加强内部控制管理、人</w:t>
      </w:r>
      <w:r>
        <w:rPr>
          <w:rFonts w:ascii="仿宋" w:hAnsi="仿宋" w:eastAsia="仿宋" w:cs="仿宋"/>
          <w:spacing w:val="3"/>
          <w:sz w:val="32"/>
          <w:szCs w:val="32"/>
        </w:rPr>
        <w:t>员培训等措施逐步自行解决，不得夹带在其他预算绩效项目中，</w:t>
      </w:r>
      <w:r>
        <w:rPr>
          <w:rFonts w:ascii="仿宋" w:hAnsi="仿宋" w:eastAsia="仿宋" w:cs="仿宋"/>
          <w:spacing w:val="-1"/>
          <w:sz w:val="32"/>
          <w:szCs w:val="32"/>
        </w:rPr>
        <w:t>变相交由第三方机构完成。</w:t>
      </w:r>
    </w:p>
    <w:p w14:paraId="67B471B2">
      <w:pPr>
        <w:keepNext w:val="0"/>
        <w:keepLines w:val="0"/>
        <w:pageBreakBefore w:val="0"/>
        <w:widowControl/>
        <w:kinsoku w:val="0"/>
        <w:wordWrap/>
        <w:overflowPunct/>
        <w:topLinePunct w:val="0"/>
        <w:autoSpaceDE w:val="0"/>
        <w:autoSpaceDN w:val="0"/>
        <w:bidi w:val="0"/>
        <w:adjustRightInd w:val="0"/>
        <w:snapToGrid w:val="0"/>
        <w:spacing w:before="54" w:line="600" w:lineRule="exact"/>
        <w:ind w:left="684"/>
        <w:jc w:val="both"/>
        <w:textAlignment w:val="baseline"/>
        <w:outlineLvl w:val="0"/>
        <w:rPr>
          <w:rFonts w:ascii="黑体" w:hAnsi="黑体" w:eastAsia="黑体" w:cs="黑体"/>
          <w:b w:val="0"/>
          <w:bCs w:val="0"/>
          <w:sz w:val="32"/>
          <w:szCs w:val="32"/>
        </w:rPr>
      </w:pPr>
      <w:r>
        <w:rPr>
          <w:rFonts w:ascii="黑体" w:hAnsi="黑体" w:eastAsia="黑体" w:cs="黑体"/>
          <w:b w:val="0"/>
          <w:bCs w:val="0"/>
          <w:spacing w:val="3"/>
          <w:sz w:val="32"/>
          <w:szCs w:val="32"/>
        </w:rPr>
        <w:t>三、强化第三方机构出具报告的应用</w:t>
      </w:r>
    </w:p>
    <w:p w14:paraId="263BD20A">
      <w:pPr>
        <w:keepNext w:val="0"/>
        <w:keepLines w:val="0"/>
        <w:pageBreakBefore w:val="0"/>
        <w:widowControl/>
        <w:kinsoku w:val="0"/>
        <w:wordWrap/>
        <w:overflowPunct/>
        <w:topLinePunct w:val="0"/>
        <w:autoSpaceDE w:val="0"/>
        <w:autoSpaceDN w:val="0"/>
        <w:bidi w:val="0"/>
        <w:adjustRightInd w:val="0"/>
        <w:snapToGrid w:val="0"/>
        <w:spacing w:before="227" w:line="600" w:lineRule="exact"/>
        <w:ind w:right="74" w:firstLine="680"/>
        <w:jc w:val="both"/>
        <w:textAlignment w:val="baseline"/>
        <w:rPr>
          <w:rFonts w:ascii="仿宋" w:hAnsi="仿宋" w:eastAsia="仿宋" w:cs="仿宋"/>
          <w:sz w:val="32"/>
          <w:szCs w:val="32"/>
        </w:rPr>
      </w:pPr>
      <w:r>
        <w:rPr>
          <w:rFonts w:ascii="仿宋" w:hAnsi="仿宋" w:eastAsia="仿宋" w:cs="仿宋"/>
          <w:spacing w:val="15"/>
          <w:sz w:val="32"/>
          <w:szCs w:val="32"/>
        </w:rPr>
        <w:t>各部门各单位在绩效管理工作中要注重发挥</w:t>
      </w:r>
      <w:r>
        <w:rPr>
          <w:rFonts w:ascii="仿宋" w:hAnsi="仿宋" w:eastAsia="仿宋" w:cs="仿宋"/>
          <w:spacing w:val="14"/>
          <w:sz w:val="32"/>
          <w:szCs w:val="32"/>
        </w:rPr>
        <w:t>第三方机构具</w:t>
      </w:r>
      <w:r>
        <w:rPr>
          <w:rFonts w:ascii="仿宋" w:hAnsi="仿宋" w:eastAsia="仿宋" w:cs="仿宋"/>
          <w:sz w:val="32"/>
          <w:szCs w:val="32"/>
        </w:rPr>
        <w:t xml:space="preserve"> </w:t>
      </w:r>
      <w:r>
        <w:rPr>
          <w:rFonts w:ascii="仿宋" w:hAnsi="仿宋" w:eastAsia="仿宋" w:cs="仿宋"/>
          <w:spacing w:val="2"/>
          <w:sz w:val="32"/>
          <w:szCs w:val="32"/>
        </w:rPr>
        <w:t>有较强专业性的优势，更好促进本部门本单位预算绩效管理工作</w:t>
      </w:r>
      <w:r>
        <w:rPr>
          <w:rFonts w:ascii="仿宋" w:hAnsi="仿宋" w:eastAsia="仿宋" w:cs="仿宋"/>
          <w:spacing w:val="9"/>
          <w:sz w:val="32"/>
          <w:szCs w:val="32"/>
        </w:rPr>
        <w:t xml:space="preserve"> </w:t>
      </w:r>
      <w:r>
        <w:rPr>
          <w:rFonts w:ascii="仿宋" w:hAnsi="仿宋" w:eastAsia="仿宋" w:cs="仿宋"/>
          <w:spacing w:val="2"/>
          <w:sz w:val="32"/>
          <w:szCs w:val="32"/>
        </w:rPr>
        <w:t>开展。各部门各单位对第三方机构发现的绩效目标执行偏差、管</w:t>
      </w:r>
      <w:r>
        <w:rPr>
          <w:rFonts w:ascii="仿宋" w:hAnsi="仿宋" w:eastAsia="仿宋" w:cs="仿宋"/>
          <w:spacing w:val="17"/>
          <w:sz w:val="32"/>
          <w:szCs w:val="32"/>
        </w:rPr>
        <w:t xml:space="preserve"> </w:t>
      </w:r>
      <w:r>
        <w:rPr>
          <w:rFonts w:ascii="仿宋" w:hAnsi="仿宋" w:eastAsia="仿宋" w:cs="仿宋"/>
          <w:spacing w:val="3"/>
          <w:sz w:val="32"/>
          <w:szCs w:val="32"/>
        </w:rPr>
        <w:t>理漏洞等要及时采取措施落实整改，对第三方机构提出的改进建</w:t>
      </w:r>
      <w:r>
        <w:rPr>
          <w:rFonts w:ascii="仿宋" w:hAnsi="仿宋" w:eastAsia="仿宋" w:cs="仿宋"/>
          <w:spacing w:val="2"/>
          <w:sz w:val="32"/>
          <w:szCs w:val="32"/>
        </w:rPr>
        <w:t>议要积极采纳，对第三方机构出具的绩效结果要主动与预算安排</w:t>
      </w:r>
      <w:r>
        <w:rPr>
          <w:rFonts w:ascii="仿宋" w:hAnsi="仿宋" w:eastAsia="仿宋" w:cs="仿宋"/>
          <w:spacing w:val="3"/>
          <w:sz w:val="32"/>
          <w:szCs w:val="32"/>
        </w:rPr>
        <w:t>和政策调整挂钩，探索绩效结果与资金分配的挂钩机制。</w:t>
      </w:r>
    </w:p>
    <w:p w14:paraId="6F4CFE2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34" w:line="600" w:lineRule="exact"/>
        <w:ind w:left="644"/>
        <w:jc w:val="both"/>
        <w:textAlignment w:val="baseline"/>
        <w:outlineLvl w:val="0"/>
        <w:rPr>
          <w:rFonts w:ascii="黑体" w:hAnsi="黑体" w:eastAsia="黑体" w:cs="黑体"/>
          <w:b w:val="0"/>
          <w:bCs w:val="0"/>
          <w:spacing w:val="-1"/>
          <w:sz w:val="32"/>
          <w:szCs w:val="32"/>
        </w:rPr>
      </w:pPr>
      <w:r>
        <w:rPr>
          <w:rFonts w:ascii="黑体" w:hAnsi="黑体" w:eastAsia="黑体" w:cs="黑体"/>
          <w:b w:val="0"/>
          <w:bCs w:val="0"/>
          <w:spacing w:val="-1"/>
          <w:sz w:val="32"/>
          <w:szCs w:val="32"/>
        </w:rPr>
        <w:t>加强对第三方机构的监督管理</w:t>
      </w:r>
    </w:p>
    <w:p w14:paraId="3A138319">
      <w:pPr>
        <w:keepNext w:val="0"/>
        <w:keepLines w:val="0"/>
        <w:pageBreakBefore w:val="0"/>
        <w:widowControl/>
        <w:numPr>
          <w:numId w:val="0"/>
        </w:numPr>
        <w:kinsoku w:val="0"/>
        <w:wordWrap/>
        <w:overflowPunct/>
        <w:topLinePunct w:val="0"/>
        <w:autoSpaceDE w:val="0"/>
        <w:autoSpaceDN w:val="0"/>
        <w:bidi w:val="0"/>
        <w:adjustRightInd w:val="0"/>
        <w:snapToGrid w:val="0"/>
        <w:spacing w:before="234" w:line="600" w:lineRule="exact"/>
        <w:ind w:firstLine="656" w:firstLineChars="200"/>
        <w:jc w:val="both"/>
        <w:textAlignment w:val="baseline"/>
        <w:outlineLvl w:val="0"/>
        <w:rPr>
          <w:rFonts w:ascii="仿宋" w:hAnsi="仿宋" w:eastAsia="仿宋" w:cs="仿宋"/>
          <w:sz w:val="32"/>
          <w:szCs w:val="32"/>
        </w:rPr>
      </w:pPr>
      <w:r>
        <w:rPr>
          <w:rFonts w:ascii="仿宋" w:hAnsi="仿宋" w:eastAsia="仿宋" w:cs="仿宋"/>
          <w:spacing w:val="4"/>
          <w:sz w:val="32"/>
          <w:szCs w:val="32"/>
        </w:rPr>
        <w:t>各部门各单位在日常工作中对第三方机构要加强监督管理，</w:t>
      </w:r>
      <w:r>
        <w:rPr>
          <w:rFonts w:ascii="仿宋" w:hAnsi="仿宋" w:eastAsia="仿宋" w:cs="仿宋"/>
          <w:spacing w:val="1"/>
          <w:sz w:val="32"/>
          <w:szCs w:val="32"/>
        </w:rPr>
        <w:t>及时跟踪掌握第三方机构工作进展。对委托过的第三方机构要进</w:t>
      </w:r>
      <w:r>
        <w:rPr>
          <w:rFonts w:ascii="仿宋" w:hAnsi="仿宋" w:eastAsia="仿宋" w:cs="仿宋"/>
          <w:spacing w:val="12"/>
          <w:sz w:val="32"/>
          <w:szCs w:val="32"/>
        </w:rPr>
        <w:t xml:space="preserve"> </w:t>
      </w:r>
      <w:r>
        <w:rPr>
          <w:rFonts w:ascii="仿宋" w:hAnsi="仿宋" w:eastAsia="仿宋" w:cs="仿宋"/>
          <w:spacing w:val="1"/>
          <w:sz w:val="32"/>
          <w:szCs w:val="32"/>
        </w:rPr>
        <w:t>行跟踪抽查，建立管理台账，记录第三方机构执业情况、完成时间、遵守纪律情况等。对工作中发现存在重大纰漏或严</w:t>
      </w:r>
      <w:r>
        <w:rPr>
          <w:rFonts w:ascii="仿宋" w:hAnsi="仿宋" w:eastAsia="仿宋" w:cs="仿宋"/>
          <w:sz w:val="32"/>
          <w:szCs w:val="32"/>
        </w:rPr>
        <w:t xml:space="preserve">重违背执 </w:t>
      </w:r>
      <w:r>
        <w:rPr>
          <w:rFonts w:ascii="仿宋" w:hAnsi="仿宋" w:eastAsia="仿宋" w:cs="仿宋"/>
          <w:spacing w:val="1"/>
          <w:sz w:val="32"/>
          <w:szCs w:val="32"/>
        </w:rPr>
        <w:t>业操守的第三方机构，各部门各单位除依法依规及时处理外，要及时向有关行业主管部门和行业协会反馈，促进第三方机构行业自律 。</w:t>
      </w:r>
    </w:p>
    <w:p w14:paraId="1744535F">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sz w:val="32"/>
          <w:szCs w:val="32"/>
        </w:rPr>
      </w:pPr>
    </w:p>
    <w:p w14:paraId="789BB6EE">
      <w:pPr>
        <w:keepNext w:val="0"/>
        <w:keepLines w:val="0"/>
        <w:pageBreakBefore w:val="0"/>
        <w:widowControl/>
        <w:kinsoku w:val="0"/>
        <w:wordWrap/>
        <w:overflowPunct/>
        <w:topLinePunct w:val="0"/>
        <w:autoSpaceDE w:val="0"/>
        <w:autoSpaceDN w:val="0"/>
        <w:bidi w:val="0"/>
        <w:adjustRightInd w:val="0"/>
        <w:snapToGrid w:val="0"/>
        <w:spacing w:before="101" w:line="600" w:lineRule="exact"/>
        <w:ind w:left="1489" w:right="82" w:hanging="850"/>
        <w:jc w:val="both"/>
        <w:textAlignment w:val="baseline"/>
        <w:rPr>
          <w:rFonts w:ascii="仿宋" w:hAnsi="仿宋" w:eastAsia="仿宋" w:cs="仿宋"/>
          <w:sz w:val="32"/>
          <w:szCs w:val="32"/>
        </w:rPr>
      </w:pPr>
      <w:r>
        <w:rPr>
          <w:rFonts w:ascii="仿宋" w:hAnsi="仿宋" w:eastAsia="仿宋" w:cs="仿宋"/>
          <w:spacing w:val="1"/>
          <w:sz w:val="32"/>
          <w:szCs w:val="32"/>
        </w:rPr>
        <w:t>附件：财政部关于委托第三方机构参与预算绩效</w:t>
      </w:r>
      <w:r>
        <w:rPr>
          <w:rFonts w:ascii="仿宋" w:hAnsi="仿宋" w:eastAsia="仿宋" w:cs="仿宋"/>
          <w:sz w:val="32"/>
          <w:szCs w:val="32"/>
        </w:rPr>
        <w:t>管理的指导</w:t>
      </w:r>
      <w:r>
        <w:rPr>
          <w:rFonts w:ascii="仿宋" w:hAnsi="仿宋" w:eastAsia="仿宋" w:cs="仿宋"/>
          <w:spacing w:val="-1"/>
          <w:sz w:val="32"/>
          <w:szCs w:val="32"/>
        </w:rPr>
        <w:t>意见</w:t>
      </w:r>
    </w:p>
    <w:p w14:paraId="0AF5F4F2">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sz w:val="32"/>
          <w:szCs w:val="32"/>
        </w:rPr>
      </w:pPr>
    </w:p>
    <w:p w14:paraId="4E7D31FC">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sz w:val="32"/>
          <w:szCs w:val="32"/>
        </w:rPr>
      </w:pPr>
    </w:p>
    <w:p w14:paraId="2E2F2CF9">
      <w:pPr>
        <w:keepNext w:val="0"/>
        <w:keepLines w:val="0"/>
        <w:pageBreakBefore w:val="0"/>
        <w:widowControl/>
        <w:kinsoku w:val="0"/>
        <w:wordWrap/>
        <w:overflowPunct/>
        <w:topLinePunct w:val="0"/>
        <w:autoSpaceDE w:val="0"/>
        <w:autoSpaceDN w:val="0"/>
        <w:bidi w:val="0"/>
        <w:adjustRightInd w:val="0"/>
        <w:snapToGrid w:val="0"/>
        <w:spacing w:before="101" w:line="600" w:lineRule="exact"/>
        <w:jc w:val="right"/>
        <w:textAlignment w:val="baseline"/>
        <w:rPr>
          <w:rFonts w:ascii="仿宋" w:hAnsi="仿宋" w:eastAsia="仿宋" w:cs="仿宋"/>
          <w:sz w:val="32"/>
          <w:szCs w:val="32"/>
        </w:rPr>
      </w:pPr>
      <w:r>
        <w:rPr>
          <w:rFonts w:ascii="仿宋" w:hAnsi="仿宋" w:eastAsia="仿宋" w:cs="仿宋"/>
          <w:spacing w:val="42"/>
          <w:sz w:val="32"/>
          <w:szCs w:val="32"/>
        </w:rPr>
        <w:t>2021年3月15日</w:t>
      </w:r>
    </w:p>
    <w:p w14:paraId="7BD6069E">
      <w:pPr>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rPr>
          <w:rFonts w:ascii="仿宋" w:hAnsi="仿宋" w:eastAsia="仿宋" w:cs="仿宋"/>
          <w:sz w:val="31"/>
          <w:szCs w:val="31"/>
        </w:rPr>
        <w:sectPr>
          <w:footerReference r:id="rId5" w:type="default"/>
          <w:pgSz w:w="11890" w:h="16950"/>
          <w:pgMar w:top="2098" w:right="1474" w:bottom="1984" w:left="1587" w:header="0" w:footer="641" w:gutter="0"/>
          <w:cols w:space="720" w:num="1"/>
        </w:sectPr>
      </w:pPr>
    </w:p>
    <w:p w14:paraId="47F9EEC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财政部关于委托第三方机构参与预算</w:t>
      </w:r>
    </w:p>
    <w:p w14:paraId="1A91332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绩效管理的指导意见</w:t>
      </w:r>
    </w:p>
    <w:p w14:paraId="3A2A9B97">
      <w:pPr>
        <w:jc w:val="both"/>
        <w:rPr>
          <w:rFonts w:hint="eastAsia" w:ascii="方正小标宋_GBK" w:hAnsi="方正小标宋_GBK" w:eastAsia="方正小标宋_GBK" w:cs="方正小标宋_GBK"/>
          <w:sz w:val="44"/>
          <w:szCs w:val="44"/>
        </w:rPr>
      </w:pPr>
    </w:p>
    <w:p w14:paraId="0B687CA4">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jc w:val="both"/>
        <w:textAlignment w:val="baseline"/>
        <w:rPr>
          <w:rFonts w:ascii="仿宋" w:hAnsi="仿宋" w:eastAsia="仿宋" w:cs="仿宋"/>
          <w:spacing w:val="1"/>
          <w:sz w:val="32"/>
          <w:szCs w:val="32"/>
        </w:rPr>
      </w:pPr>
      <w:r>
        <w:rPr>
          <w:rFonts w:ascii="仿宋" w:hAnsi="仿宋" w:eastAsia="仿宋" w:cs="仿宋"/>
          <w:spacing w:val="1"/>
          <w:sz w:val="32"/>
          <w:szCs w:val="32"/>
        </w:rPr>
        <w:t>有关中央预算单位，各省、自治区、直辖市、计</w:t>
      </w:r>
      <w:bookmarkStart w:id="0" w:name="_GoBack"/>
      <w:bookmarkEnd w:id="0"/>
      <w:r>
        <w:rPr>
          <w:rFonts w:ascii="仿宋" w:hAnsi="仿宋" w:eastAsia="仿宋" w:cs="仿宋"/>
          <w:spacing w:val="1"/>
          <w:sz w:val="32"/>
          <w:szCs w:val="32"/>
        </w:rPr>
        <w:t>划单列市财政厅 (局),新疆生产建设兵团财政局：</w:t>
      </w:r>
    </w:p>
    <w:p w14:paraId="1995C038">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firstLine="644" w:firstLineChars="200"/>
        <w:jc w:val="both"/>
        <w:textAlignment w:val="baseline"/>
        <w:rPr>
          <w:rFonts w:ascii="仿宋" w:hAnsi="仿宋" w:eastAsia="仿宋" w:cs="仿宋"/>
          <w:spacing w:val="1"/>
          <w:sz w:val="32"/>
          <w:szCs w:val="32"/>
        </w:rPr>
      </w:pPr>
      <w:r>
        <w:rPr>
          <w:rFonts w:ascii="仿宋" w:hAnsi="仿宋" w:eastAsia="仿宋" w:cs="仿宋"/>
          <w:spacing w:val="1"/>
          <w:sz w:val="32"/>
          <w:szCs w:val="32"/>
        </w:rPr>
        <w:t>预算部门或单位委托第三方机构参与预算绩效管理，是全面 实施预算绩效管理的重要举措，是推动加强预算管理、提高财政 资金使用效益的有效手段。由于这方面工作起步不久，目前对预算部门或单位作为委托方选择使用第三方机构以及开展必要的管理监督缺乏统一要求，特别是委托第三方机构评价自身绩效的做 法亟待规范。为此，根据《中华人民共和国预算法》、《中华人民共和国预算法实施条例》和《中共中央国务院关于全面实施预算绩效管理的意见》以及政府采购管理、政府购买服务管理有关规定，提出如下指导意见。</w:t>
      </w:r>
    </w:p>
    <w:p w14:paraId="4E64A3A5">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firstLine="644" w:firstLineChars="200"/>
        <w:jc w:val="both"/>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一 、总体要求</w:t>
      </w:r>
    </w:p>
    <w:p w14:paraId="50BCE591">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firstLine="647" w:firstLineChars="200"/>
        <w:jc w:val="both"/>
        <w:textAlignment w:val="baseline"/>
        <w:rPr>
          <w:rFonts w:hint="eastAsia" w:ascii="方正楷体_GB2312" w:hAnsi="方正楷体_GB2312" w:eastAsia="方正楷体_GB2312" w:cs="方正楷体_GB2312"/>
          <w:b/>
          <w:bCs/>
          <w:spacing w:val="1"/>
          <w:sz w:val="32"/>
          <w:szCs w:val="32"/>
        </w:rPr>
      </w:pPr>
      <w:r>
        <w:rPr>
          <w:rFonts w:hint="eastAsia" w:ascii="方正楷体_GB2312" w:hAnsi="方正楷体_GB2312" w:eastAsia="方正楷体_GB2312" w:cs="方正楷体_GB2312"/>
          <w:b/>
          <w:bCs/>
          <w:spacing w:val="1"/>
          <w:sz w:val="32"/>
          <w:szCs w:val="32"/>
        </w:rPr>
        <w:t>(一)指导思想。</w:t>
      </w:r>
    </w:p>
    <w:p w14:paraId="50656233">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firstLine="644" w:firstLineChars="200"/>
        <w:jc w:val="both"/>
        <w:textAlignment w:val="baseline"/>
        <w:rPr>
          <w:rFonts w:ascii="仿宋" w:hAnsi="仿宋" w:eastAsia="仿宋" w:cs="仿宋"/>
          <w:spacing w:val="1"/>
          <w:sz w:val="32"/>
          <w:szCs w:val="32"/>
        </w:rPr>
      </w:pPr>
      <w:r>
        <w:rPr>
          <w:rFonts w:ascii="仿宋" w:hAnsi="仿宋" w:eastAsia="仿宋" w:cs="仿宋"/>
          <w:spacing w:val="1"/>
          <w:sz w:val="32"/>
          <w:szCs w:val="32"/>
        </w:rPr>
        <w:t>深入贯彻落实党中央、国务院关于全面实施预算绩效管理的 决策部署，围绕强化预算约束和绩效管理，服务预算管理大局，通过明确范围、规范管理、有效引导、强化监督，合理界定委托方、第三方机构以及预算绩效管理对象等相关主体的责任关系，保障委托第三方机构参与预算绩效管理有序实施，严格第三方机构执业质量监督管理，促进第三方机构执业水平提升，推动预算绩效管理提质增效，更好发挥预算绩效管理在优化财政资源配置、提升政策效能中的积极作用。</w:t>
      </w:r>
    </w:p>
    <w:p w14:paraId="0F10BBA5">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firstLine="647" w:firstLineChars="200"/>
        <w:jc w:val="both"/>
        <w:textAlignment w:val="baseline"/>
        <w:rPr>
          <w:rFonts w:hint="eastAsia" w:ascii="方正楷体_GB2312" w:hAnsi="方正楷体_GB2312" w:eastAsia="方正楷体_GB2312" w:cs="方正楷体_GB2312"/>
          <w:b/>
          <w:bCs/>
          <w:spacing w:val="1"/>
          <w:sz w:val="32"/>
          <w:szCs w:val="32"/>
        </w:rPr>
      </w:pPr>
      <w:r>
        <w:rPr>
          <w:rFonts w:hint="eastAsia" w:ascii="方正楷体_GB2312" w:hAnsi="方正楷体_GB2312" w:eastAsia="方正楷体_GB2312" w:cs="方正楷体_GB2312"/>
          <w:b/>
          <w:bCs/>
          <w:spacing w:val="1"/>
          <w:sz w:val="32"/>
          <w:szCs w:val="32"/>
        </w:rPr>
        <w:t>(二)基本原则。</w:t>
      </w:r>
    </w:p>
    <w:p w14:paraId="22998977">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ascii="仿宋" w:hAnsi="仿宋" w:eastAsia="仿宋" w:cs="仿宋"/>
          <w:spacing w:val="1"/>
          <w:sz w:val="32"/>
          <w:szCs w:val="32"/>
        </w:rPr>
        <w:t>坚持权责清晰、主体分离。委托第三方机构参与预算绩效管理，必须明确委托方与第三方机构、相关预算绩效管理对象的权 利和责任，严格执行利益冲突回避制度，确保委托主体与预算绩 效管理对象相分离。</w:t>
      </w:r>
    </w:p>
    <w:p w14:paraId="4BD3E635">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ascii="仿宋" w:hAnsi="仿宋" w:eastAsia="仿宋" w:cs="仿宋"/>
          <w:spacing w:val="1"/>
          <w:sz w:val="32"/>
          <w:szCs w:val="32"/>
        </w:rPr>
        <w:t>坚持厉行节约、突出重点。合理确定委托第三方机构开展预 算绩效管理工作范围，对自评等不宜委托第三方机构的工作实行 负面清单管理。落实政府过紧日子的要求，注重突出重点、解决实际问题。坚持质量导向、择优选取。选取专业能力突出、资质优良的 第三方机构参与绩效管理工作。充分发挥第三方机构智力资源和研究能力，以及在独立性、专业性方面的独特优势，引导带动绩效自评质量和绩效管理水平提升。</w:t>
      </w:r>
    </w:p>
    <w:p w14:paraId="3177CACB">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二、主要内容</w:t>
      </w:r>
    </w:p>
    <w:p w14:paraId="72463437">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(一)委托第三方机构参与预算绩效管理的工作重点。</w:t>
      </w:r>
      <w:r>
        <w:rPr>
          <w:rFonts w:ascii="仿宋" w:hAnsi="仿宋" w:eastAsia="仿宋" w:cs="仿宋"/>
          <w:spacing w:val="1"/>
          <w:sz w:val="32"/>
          <w:szCs w:val="32"/>
        </w:rPr>
        <w:t xml:space="preserve"> 委托 第三方机构开展绩效管理，应当聚焦于贯彻落实党中央、国务院 重大决策部署和本部门或单位主体职责的政策和项目。财政部门 重点组织对预算部门及单位、下级财政部门开展政策性评估评价，也可以根据需要对其承担的重点项目开展评价；预算部门的财务机构或其他负责绩效管理的机构重点组织对业务机构、所属单位以及下级部门和单位开展具体项目的绩效管理工作。</w:t>
      </w:r>
    </w:p>
    <w:p w14:paraId="2DA34062">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(二)规范委托第三方机构参与预算绩效管理的范围。</w:t>
      </w:r>
      <w:r>
        <w:rPr>
          <w:rFonts w:ascii="仿宋" w:hAnsi="仿宋" w:eastAsia="仿宋" w:cs="仿宋"/>
          <w:spacing w:val="1"/>
          <w:sz w:val="32"/>
          <w:szCs w:val="32"/>
        </w:rPr>
        <w:t>委托 第三方机构参与绩效管理，主要包括以下方面工作内容： 一是事前绩效评估和绩效目标审核；二是绩效评价或评价结果复核；三是绩效指标和标准体系制定；四是预算绩效管理相关课题研究。具体项目选择上，可以结合工作实际，通过优先选取重点项目、随机选取一般性项目，以及分年度分重点滚动安排等方式开展。</w:t>
      </w:r>
    </w:p>
    <w:p w14:paraId="2FEB7D70">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(三)不得委托第三方机构承担的事项。</w:t>
      </w:r>
      <w:r>
        <w:rPr>
          <w:rFonts w:ascii="仿宋" w:hAnsi="仿宋" w:eastAsia="仿宋" w:cs="仿宋"/>
          <w:spacing w:val="1"/>
          <w:sz w:val="32"/>
          <w:szCs w:val="32"/>
        </w:rPr>
        <w:t>坚持委托主体与绩 效管理对象相分离，禁止预算部门或单位委托第三方机构对自身 绩效管理工作开展评价。对于绩效目标设定、绩效运行监控、绩效自评等属于预算部门或单位强化内部管理的事项，原则上不得委托第三方机构开展，确需第三方机构协助的，要严格限定各方责任，第三方机构仅限于协助委托方完成部分事务性工作，不得以第三方机构名义代替委托方对外出具相关报告和结论。</w:t>
      </w:r>
    </w:p>
    <w:p w14:paraId="0D34A2A4">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(四)依法合规优选第三方机构。</w:t>
      </w:r>
      <w:r>
        <w:rPr>
          <w:rFonts w:ascii="仿宋" w:hAnsi="仿宋" w:eastAsia="仿宋" w:cs="仿宋"/>
          <w:spacing w:val="1"/>
          <w:sz w:val="32"/>
          <w:szCs w:val="32"/>
        </w:rPr>
        <w:t>委托方应当严格按照政府 采购、政府购买服务的程序和要求，选取专业能力突出、机构管 理规范、执业信誉较好的第三方机构参与绩效管理工作。第三方 机构须独立于委托方和绩效管理对象，主要包括社会咨询机构、会计师事务所、资产评估机构等社会组织或中介机构，科研院所、 高等院校等事业单位等。</w:t>
      </w:r>
    </w:p>
    <w:p w14:paraId="196BD073">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(五)规范委托第三方机构的方式。</w:t>
      </w:r>
      <w:r>
        <w:rPr>
          <w:rFonts w:ascii="仿宋" w:hAnsi="仿宋" w:eastAsia="仿宋" w:cs="仿宋"/>
          <w:spacing w:val="1"/>
          <w:sz w:val="32"/>
          <w:szCs w:val="32"/>
        </w:rPr>
        <w:t>委托方可以根据委托事 项的性质，采用全权委托或部分委托、单独委托或多家委托等方式，并根据不同委托方式界定第三方机构的工作定位和责任分担，发挥好第三方机构的作用。委托方及绩效管理对象应当尊重第三方机构的专业性和独立性，不得干预其独立、公正开展工作。</w:t>
      </w:r>
    </w:p>
    <w:p w14:paraId="477AB925">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(六)保障第三方机构正常开展工作需要。</w:t>
      </w:r>
      <w:r>
        <w:rPr>
          <w:rFonts w:ascii="仿宋" w:hAnsi="仿宋" w:eastAsia="仿宋" w:cs="仿宋"/>
          <w:spacing w:val="1"/>
          <w:sz w:val="32"/>
          <w:szCs w:val="32"/>
        </w:rPr>
        <w:t>委托方应当遵循 “谁委托、谁付费”的原则，综合考虑委托业务的难易程度和工作量、时间与人员资质要求以及第三方机构工作成本等因素，合理确定委托费用并按协议支付。所需经费原则上由委托方通过项目支出或公用经费解决。委托方和相关预算绩效管理对象要积极 支持配合，及时提供相关资料和必要的工作条件，并对所提供资 料和数据的完整性、真实性、有效性负责，便于受托方全面掌握相关情况及委托方意图。</w:t>
      </w:r>
    </w:p>
    <w:p w14:paraId="2723FF4E">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(七)加强对第三方机构的指导和监督。</w:t>
      </w:r>
      <w:r>
        <w:rPr>
          <w:rFonts w:ascii="仿宋" w:hAnsi="仿宋" w:eastAsia="仿宋" w:cs="仿宋"/>
          <w:spacing w:val="1"/>
          <w:sz w:val="32"/>
          <w:szCs w:val="32"/>
        </w:rPr>
        <w:t>委托方应当对第三方机构进行必要的培训和指导，及时跟踪掌握第三方机构工作进 展，加强付费管理和质量控制，把好绩效报告质量关，推动第三方机构履职尽责。各级财政部门、主管部门应当按照职责，加强对第三方机构参与预算绩效管理的执业质量监管，对第三方机构工作开展情况进行跟踪抽查。第三方机构有违背职业操守，或违反财政部门、预算部门相关规定及有关法律法规等行为的，要依法依规及时处理。</w:t>
      </w:r>
    </w:p>
    <w:p w14:paraId="476BC7CB">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hint="eastAsia" w:ascii="黑体" w:hAnsi="黑体" w:eastAsia="黑体" w:cs="黑体"/>
          <w:spacing w:val="1"/>
          <w:sz w:val="32"/>
          <w:szCs w:val="32"/>
        </w:rPr>
      </w:pPr>
      <w:r>
        <w:rPr>
          <w:rFonts w:hint="eastAsia" w:ascii="黑体" w:hAnsi="黑体" w:eastAsia="黑体" w:cs="黑体"/>
          <w:spacing w:val="1"/>
          <w:sz w:val="32"/>
          <w:szCs w:val="32"/>
        </w:rPr>
        <w:t>三、配套措施</w:t>
      </w:r>
    </w:p>
    <w:p w14:paraId="14B95236">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(一)完善管理制度。</w:t>
      </w:r>
      <w:r>
        <w:rPr>
          <w:rFonts w:ascii="仿宋" w:hAnsi="仿宋" w:eastAsia="仿宋" w:cs="仿宋"/>
          <w:spacing w:val="1"/>
          <w:sz w:val="32"/>
          <w:szCs w:val="32"/>
        </w:rPr>
        <w:t>各有关中央部门、各级财政部门可以 根据本意见并结合工作需要，制定委托第三方机构参与本部门本 地区预算绩效管理的管理办法、实施细则或操作规范，明确采购 流程、工作程序、付费标准、档案管理、业绩考评、保密管理等 具体规定，进一步细化规范预算部门和单位以及第三方机构等相 关主体参与预算绩效管理的行为。</w:t>
      </w:r>
    </w:p>
    <w:p w14:paraId="37A3D461">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(二)强化工作协同。</w:t>
      </w:r>
      <w:r>
        <w:rPr>
          <w:rFonts w:ascii="仿宋" w:hAnsi="仿宋" w:eastAsia="仿宋" w:cs="仿宋"/>
          <w:spacing w:val="1"/>
          <w:sz w:val="32"/>
          <w:szCs w:val="32"/>
        </w:rPr>
        <w:t>各级财政部门应当推动预算绩效信息 公开，主动接受指导监督，增进协同配合，促进形成引导和规范 第三方机构参与预算绩效管理的工作合力。发挥有关行业协会作用，强化第三方机构行业自律，不断提升业务能力和行业公信力。</w:t>
      </w:r>
    </w:p>
    <w:p w14:paraId="06E66B3B">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79" w:firstLine="644" w:firstLineChars="200"/>
        <w:jc w:val="both"/>
        <w:textAlignment w:val="baseline"/>
        <w:rPr>
          <w:rFonts w:ascii="仿宋" w:hAnsi="仿宋" w:eastAsia="仿宋" w:cs="仿宋"/>
          <w:spacing w:val="1"/>
          <w:sz w:val="32"/>
          <w:szCs w:val="32"/>
        </w:rPr>
      </w:pPr>
      <w:r>
        <w:rPr>
          <w:rFonts w:hint="eastAsia" w:ascii="方正楷体_GB2312" w:hAnsi="方正楷体_GB2312" w:eastAsia="方正楷体_GB2312" w:cs="方正楷体_GB2312"/>
          <w:spacing w:val="1"/>
          <w:sz w:val="32"/>
          <w:szCs w:val="32"/>
        </w:rPr>
        <w:t>(三)加强信用管理。</w:t>
      </w:r>
      <w:r>
        <w:rPr>
          <w:rFonts w:ascii="仿宋" w:hAnsi="仿宋" w:eastAsia="仿宋" w:cs="仿宋"/>
          <w:spacing w:val="1"/>
          <w:sz w:val="32"/>
          <w:szCs w:val="32"/>
        </w:rPr>
        <w:t>各级财政部门应当加强第三方机构参 与预算绩效管理的诚信体系建设，推动信息共享。各委托方应当 按要求记录第三方机构履职情况，协助财政部门强化信用管理。第三方机构应实行受托工作成果责任制，确保预算绩效管理结果有人负责、有源可溯。</w:t>
      </w:r>
    </w:p>
    <w:p w14:paraId="2787E78A">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jc w:val="both"/>
        <w:textAlignment w:val="baseline"/>
        <w:rPr>
          <w:rFonts w:ascii="仿宋" w:hAnsi="仿宋" w:eastAsia="仿宋" w:cs="仿宋"/>
          <w:spacing w:val="1"/>
          <w:sz w:val="32"/>
          <w:szCs w:val="32"/>
          <w:lang w:val="en-US" w:eastAsia="en-US"/>
        </w:rPr>
      </w:pPr>
    </w:p>
    <w:p w14:paraId="5FA9FFB6">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jc w:val="right"/>
        <w:textAlignment w:val="baseline"/>
        <w:rPr>
          <w:rFonts w:hint="eastAsia" w:ascii="仿宋" w:hAnsi="仿宋" w:eastAsia="仿宋" w:cs="仿宋"/>
          <w:spacing w:val="1"/>
          <w:sz w:val="32"/>
          <w:szCs w:val="32"/>
          <w:lang w:val="en-US" w:eastAsia="zh-CN"/>
        </w:rPr>
      </w:pPr>
      <w:r>
        <w:rPr>
          <w:rFonts w:ascii="仿宋" w:hAnsi="仿宋" w:eastAsia="仿宋" w:cs="仿宋"/>
          <w:spacing w:val="1"/>
          <w:sz w:val="32"/>
          <w:szCs w:val="32"/>
          <w:lang w:val="en-US" w:eastAsia="en-US"/>
        </w:rPr>
        <w:t>2021</w:t>
      </w:r>
      <w:r>
        <w:rPr>
          <w:rFonts w:hint="eastAsia" w:ascii="仿宋" w:hAnsi="仿宋" w:eastAsia="仿宋" w:cs="仿宋"/>
          <w:spacing w:val="1"/>
          <w:sz w:val="32"/>
          <w:szCs w:val="32"/>
          <w:lang w:val="en-US" w:eastAsia="zh-CN"/>
        </w:rPr>
        <w:t>年</w:t>
      </w:r>
      <w:r>
        <w:rPr>
          <w:rFonts w:ascii="仿宋" w:hAnsi="仿宋" w:eastAsia="仿宋" w:cs="仿宋"/>
          <w:spacing w:val="1"/>
          <w:sz w:val="32"/>
          <w:szCs w:val="32"/>
          <w:lang w:val="en-US" w:eastAsia="en-US"/>
        </w:rPr>
        <w:t>12</w:t>
      </w:r>
      <w:r>
        <w:rPr>
          <w:rFonts w:hint="eastAsia" w:ascii="仿宋" w:hAnsi="仿宋" w:eastAsia="仿宋" w:cs="仿宋"/>
          <w:spacing w:val="1"/>
          <w:sz w:val="32"/>
          <w:szCs w:val="32"/>
          <w:lang w:val="en-US" w:eastAsia="zh-CN"/>
        </w:rPr>
        <w:t>月</w:t>
      </w:r>
      <w:r>
        <w:rPr>
          <w:rFonts w:ascii="仿宋" w:hAnsi="仿宋" w:eastAsia="仿宋" w:cs="仿宋"/>
          <w:spacing w:val="1"/>
          <w:sz w:val="32"/>
          <w:szCs w:val="32"/>
          <w:lang w:val="en-US" w:eastAsia="en-US"/>
        </w:rPr>
        <w:t>5</w:t>
      </w:r>
      <w:r>
        <w:rPr>
          <w:rFonts w:hint="eastAsia" w:ascii="仿宋" w:hAnsi="仿宋" w:eastAsia="仿宋" w:cs="仿宋"/>
          <w:spacing w:val="1"/>
          <w:sz w:val="32"/>
          <w:szCs w:val="32"/>
          <w:lang w:val="en-US" w:eastAsia="zh-CN"/>
        </w:rPr>
        <w:t>日</w:t>
      </w:r>
    </w:p>
    <w:p w14:paraId="5D6B4686">
      <w:pPr>
        <w:keepNext w:val="0"/>
        <w:keepLines w:val="0"/>
        <w:pageBreakBefore w:val="0"/>
        <w:widowControl/>
        <w:kinsoku w:val="0"/>
        <w:wordWrap/>
        <w:overflowPunct/>
        <w:topLinePunct w:val="0"/>
        <w:autoSpaceDE w:val="0"/>
        <w:autoSpaceDN w:val="0"/>
        <w:bidi w:val="0"/>
        <w:adjustRightInd w:val="0"/>
        <w:snapToGrid w:val="0"/>
        <w:spacing w:before="220" w:line="600" w:lineRule="exact"/>
        <w:ind w:right="80"/>
        <w:jc w:val="both"/>
        <w:textAlignment w:val="baseline"/>
        <w:rPr>
          <w:rFonts w:ascii="仿宋" w:hAnsi="仿宋" w:eastAsia="仿宋" w:cs="仿宋"/>
          <w:spacing w:val="1"/>
          <w:sz w:val="32"/>
          <w:szCs w:val="32"/>
        </w:rPr>
      </w:pPr>
    </w:p>
    <w:p w14:paraId="0787FC0A">
      <w:pPr>
        <w:keepNext w:val="0"/>
        <w:keepLines w:val="0"/>
        <w:pageBreakBefore w:val="0"/>
        <w:widowControl/>
        <w:kinsoku w:val="0"/>
        <w:wordWrap/>
        <w:overflowPunct/>
        <w:topLinePunct w:val="0"/>
        <w:autoSpaceDE w:val="0"/>
        <w:autoSpaceDN w:val="0"/>
        <w:bidi w:val="0"/>
        <w:adjustRightInd w:val="0"/>
        <w:snapToGrid w:val="0"/>
        <w:spacing w:before="236" w:line="600" w:lineRule="exact"/>
        <w:textAlignment w:val="baseline"/>
        <w:rPr>
          <w:rFonts w:ascii="宋体" w:hAnsi="宋体" w:eastAsia="宋体" w:cs="宋体"/>
          <w:sz w:val="24"/>
          <w:szCs w:val="24"/>
        </w:rPr>
      </w:pPr>
    </w:p>
    <w:sectPr>
      <w:footerReference r:id="rId6" w:type="default"/>
      <w:pgSz w:w="11900" w:h="1693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BDF203-59B0-4426-BA51-7BFDAAF4FFC9}"/>
  </w:font>
  <w:font w:name="黑体">
    <w:panose1 w:val="02010609060101010101"/>
    <w:charset w:val="86"/>
    <w:family w:val="auto"/>
    <w:pitch w:val="default"/>
    <w:sig w:usb0="800002BF" w:usb1="38CF7CFA" w:usb2="00000016" w:usb3="00000000" w:csb0="00040001" w:csb1="00000000"/>
    <w:embedRegular r:id="rId2" w:fontKey="{88F6D587-619F-4681-A105-697A96F52E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0769284C-9332-48D6-B11E-670765233C6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711634D8-F40F-4704-BA2B-0CEC70F7108B}"/>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汉仪中黑 197">
    <w:panose1 w:val="00020600040101010101"/>
    <w:charset w:val="86"/>
    <w:family w:val="auto"/>
    <w:pitch w:val="default"/>
    <w:sig w:usb0="A00002BF" w:usb1="18EF7CFA" w:usb2="00000016" w:usb3="00000000" w:csb0="0004009F" w:csb1="00000000"/>
  </w:font>
  <w:font w:name="Malgun Gothic">
    <w:panose1 w:val="020B0503020000020004"/>
    <w:charset w:val="81"/>
    <w:family w:val="auto"/>
    <w:pitch w:val="default"/>
    <w:sig w:usb0="9000002F" w:usb1="29D77CFB" w:usb2="00000012" w:usb3="00000000" w:csb0="00080001" w:csb1="00000000"/>
  </w:font>
  <w:font w:name="汉仪超粗宋简">
    <w:panose1 w:val="02010600000101010101"/>
    <w:charset w:val="86"/>
    <w:family w:val="auto"/>
    <w:pitch w:val="default"/>
    <w:sig w:usb0="00000001" w:usb1="080E0800" w:usb2="00000002" w:usb3="00000000" w:csb0="00040000" w:csb1="00000000"/>
  </w:font>
  <w:font w:name="汉仪楷体简">
    <w:panose1 w:val="02010600000101010101"/>
    <w:charset w:val="80"/>
    <w:family w:val="auto"/>
    <w:pitch w:val="default"/>
    <w:sig w:usb0="800002BF" w:usb1="184F6CF8" w:usb2="00000012" w:usb3="00000000" w:csb0="00020001" w:csb1="00000000"/>
  </w:font>
  <w:font w:name="方正楷体_GB2312">
    <w:panose1 w:val="02000000000000000000"/>
    <w:charset w:val="86"/>
    <w:family w:val="auto"/>
    <w:pitch w:val="default"/>
    <w:sig w:usb0="A00002BF" w:usb1="184F6CFA" w:usb2="00000012" w:usb3="00000000" w:csb0="00040001" w:csb1="00000000"/>
    <w:embedRegular r:id="rId5" w:fontKey="{78D8F29B-605C-4B25-9B08-F21CB11DC9F9}"/>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汉仪颜楷简">
    <w:panose1 w:val="00020600040101010101"/>
    <w:charset w:val="86"/>
    <w:family w:val="auto"/>
    <w:pitch w:val="default"/>
    <w:sig w:usb0="800000EF" w:usb1="0A417C9A" w:usb2="00000016" w:usb3="00000000" w:csb0="0004009F" w:csb1="00000000"/>
  </w:font>
  <w:font w:name="汉仪铸字美心体W">
    <w:panose1 w:val="00020600040101010101"/>
    <w:charset w:val="86"/>
    <w:family w:val="auto"/>
    <w:pitch w:val="default"/>
    <w:sig w:usb0="8000003F" w:usb1="2ACB7C5A" w:usb2="00000016" w:usb3="00000000" w:csb0="0004009F" w:csb1="00000000"/>
  </w:font>
  <w:font w:name="汉仪粗圆简">
    <w:panose1 w:val="02010600000101010101"/>
    <w:charset w:val="86"/>
    <w:family w:val="auto"/>
    <w:pitch w:val="default"/>
    <w:sig w:usb0="00000001" w:usb1="080E0800" w:usb2="00000002" w:usb3="00000000" w:csb0="00040000" w:csb1="00000000"/>
  </w:font>
  <w:font w:name="汉仪雅酷黑 95W">
    <w:panose1 w:val="020B0A04020202020204"/>
    <w:charset w:val="86"/>
    <w:family w:val="auto"/>
    <w:pitch w:val="default"/>
    <w:sig w:usb0="A00002FF" w:usb1="28C1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19A3">
    <w:pPr>
      <w:spacing w:line="173" w:lineRule="auto"/>
      <w:ind w:right="21"/>
      <w:jc w:val="right"/>
      <w:rPr>
        <w:rFonts w:ascii="宋体" w:hAnsi="宋体" w:eastAsia="宋体" w:cs="宋体"/>
        <w:sz w:val="20"/>
        <w:szCs w:val="20"/>
      </w:rPr>
    </w:pPr>
    <w:r>
      <w:rPr>
        <w:rFonts w:ascii="宋体" w:hAnsi="宋体" w:eastAsia="宋体" w:cs="宋体"/>
        <w:spacing w:val="-3"/>
        <w:sz w:val="20"/>
        <w:szCs w:val="20"/>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0B16B">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28587"/>
    <w:multiLevelType w:val="singleLevel"/>
    <w:tmpl w:val="79F285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8EA6CE4"/>
    <w:rsid w:val="3E846C23"/>
    <w:rsid w:val="4AB10DA0"/>
    <w:rsid w:val="78F43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3625</Words>
  <Characters>3654</Characters>
  <TotalTime>19</TotalTime>
  <ScaleCrop>false</ScaleCrop>
  <LinksUpToDate>false</LinksUpToDate>
  <CharactersWithSpaces>3767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2025-03-11T09:22:00Z</dcterms:created>
  <dc:creator>Kingsoft-PDF</dc:creator>
  <cp:lastModifiedBy>我要成仙</cp:lastModifiedBy>
  <dcterms:modified xsi:type="dcterms:W3CDTF">2025-03-11T01:42:06Z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2025-03-11T09:22:15Z</vt:filetime>
  </property>
  <property fmtid="{D5CDD505-2E9C-101B-9397-08002B2CF9AE}" pid="4" name="UsrData">
    <vt:lpwstr>67cf9041bfc444001f41e71dwl</vt:lpwstr>
  </property>
  <property fmtid="{D5CDD505-2E9C-101B-9397-08002B2CF9AE}" pid="5" name="KSOTemplateDocerSaveRecord">
    <vt:lpwstr>eyJoZGlkIjoiYjBlNzEyYzhlNmE1OWRhMzRhZDMxMTY5ZmZiYTg4NzIiLCJ1c2VySWQiOiIxNTc4NDkxMjA4In0=</vt:lpwstr>
  </property>
  <property fmtid="{D5CDD505-2E9C-101B-9397-08002B2CF9AE}" pid="6" name="KSOProductBuildVer">
    <vt:lpwstr>2052-12.1.0.20305</vt:lpwstr>
  </property>
  <property fmtid="{D5CDD505-2E9C-101B-9397-08002B2CF9AE}" pid="7" name="ICV">
    <vt:lpwstr>AFFDE8A3327542D2B9490DBE853B1C0D_12</vt:lpwstr>
  </property>
</Properties>
</file>