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 w:line="580" w:lineRule="exact"/>
        <w:jc w:val="center"/>
        <w:rPr>
          <w:rFonts w:hint="default" w:ascii="Times New Roman" w:hAnsi="Times New Roman" w:eastAsia="Times New Roman"/>
          <w:color w:val="auto"/>
          <w:kern w:val="2"/>
          <w:sz w:val="44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default" w:ascii="Times New Roman" w:hAnsi="Times New Roman" w:eastAsia="Times New Roman"/>
          <w:color w:val="auto"/>
          <w:kern w:val="2"/>
          <w:sz w:val="44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default" w:ascii="Times New Roman" w:hAnsi="Times New Roman" w:eastAsia="Times New Roman"/>
          <w:color w:val="auto"/>
          <w:kern w:val="2"/>
          <w:sz w:val="44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方正小标宋简体" w:hAnsi="方正小标宋简体" w:eastAsia="方正小标宋简体"/>
          <w:color w:val="auto"/>
          <w:sz w:val="48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方正小标宋简体" w:hAnsi="方正小标宋简体" w:eastAsia="方正小标宋简体"/>
          <w:color w:val="auto"/>
          <w:sz w:val="48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方正小标宋简体" w:hAnsi="方正小标宋简体" w:eastAsia="方正小标宋简体"/>
          <w:color w:val="auto"/>
          <w:sz w:val="48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方正小标宋简体" w:hAnsi="方正小标宋简体" w:eastAsia="方正小标宋简体"/>
          <w:color w:val="auto"/>
          <w:sz w:val="48"/>
          <w:szCs w:val="24"/>
          <w:highlight w:val="none"/>
          <w:lang w:val="zh-CN"/>
        </w:rPr>
      </w:pPr>
    </w:p>
    <w:p>
      <w:pPr>
        <w:autoSpaceDE/>
        <w:autoSpaceDN/>
        <w:spacing w:beforeLines="0" w:afterLines="0"/>
        <w:jc w:val="center"/>
        <w:textAlignment w:val="baseline"/>
        <w:rPr>
          <w:rFonts w:hint="eastAsia" w:ascii="方正小标宋简体" w:hAnsi="方正小标宋简体" w:eastAsia="方正小标宋简体"/>
          <w:color w:val="auto"/>
          <w:sz w:val="48"/>
          <w:szCs w:val="24"/>
          <w:highlight w:val="none"/>
          <w:lang w:val="zh-CN" w:eastAsia="zh-CN"/>
        </w:rPr>
      </w:pPr>
      <w:r>
        <w:rPr>
          <w:rFonts w:hint="eastAsia" w:ascii="方正小标宋简体" w:hAnsi="方正小标宋简体" w:eastAsia="方正小标宋简体"/>
          <w:color w:val="auto"/>
          <w:sz w:val="48"/>
          <w:szCs w:val="24"/>
          <w:highlight w:val="none"/>
          <w:lang w:val="zh-CN" w:eastAsia="zh-CN"/>
        </w:rPr>
        <w:t>天津歌舞剧院</w:t>
      </w: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方正小标宋简体" w:hAnsi="方正小标宋简体" w:eastAsia="方正小标宋简体"/>
          <w:color w:val="auto"/>
          <w:sz w:val="48"/>
          <w:szCs w:val="24"/>
          <w:highlight w:val="none"/>
          <w:lang w:val="zh-CN"/>
        </w:rPr>
        <w:t>2024年单位预算</w:t>
      </w: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jc w:val="both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44"/>
          <w:szCs w:val="24"/>
          <w:highlight w:val="none"/>
          <w:lang w:val="en-US"/>
        </w:rPr>
      </w:pPr>
    </w:p>
    <w:p>
      <w:pPr>
        <w:spacing w:beforeLines="0" w:afterLines="0" w:line="600" w:lineRule="exact"/>
        <w:jc w:val="center"/>
        <w:rPr>
          <w:rFonts w:hint="eastAsia" w:ascii="黑体" w:hAnsi="黑体" w:eastAsia="黑体"/>
          <w:color w:val="auto"/>
          <w:kern w:val="2"/>
          <w:sz w:val="44"/>
          <w:szCs w:val="24"/>
          <w:highlight w:val="none"/>
          <w:lang w:val="en-US"/>
        </w:rPr>
        <w:sectPr>
          <w:pgSz w:w="12240" w:h="15840"/>
          <w:pgMar w:top="1440" w:right="1800" w:bottom="1440" w:left="1800" w:header="720" w:footer="720" w:gutter="0"/>
          <w:lnNumType w:countBy="0" w:distance="360"/>
          <w:cols w:space="720" w:num="1"/>
        </w:sectPr>
      </w:pPr>
    </w:p>
    <w:p>
      <w:pPr>
        <w:spacing w:beforeLines="0" w:afterLines="0" w:line="600" w:lineRule="exact"/>
        <w:jc w:val="center"/>
        <w:rPr>
          <w:rFonts w:hint="eastAsia" w:ascii="黑体" w:hAnsi="黑体" w:eastAsia="黑体"/>
          <w:color w:val="auto"/>
          <w:kern w:val="2"/>
          <w:sz w:val="44"/>
          <w:szCs w:val="24"/>
          <w:highlight w:val="none"/>
          <w:lang w:val="en-US"/>
        </w:rPr>
      </w:pPr>
      <w:r>
        <w:rPr>
          <w:rFonts w:hint="eastAsia" w:ascii="黑体" w:hAnsi="黑体" w:eastAsia="黑体"/>
          <w:color w:val="auto"/>
          <w:kern w:val="2"/>
          <w:sz w:val="44"/>
          <w:szCs w:val="24"/>
          <w:highlight w:val="none"/>
          <w:lang w:val="en-US"/>
        </w:rPr>
        <w:t>目   录</w:t>
      </w:r>
    </w:p>
    <w:p>
      <w:pPr>
        <w:keepNext/>
        <w:keepLines/>
        <w:spacing w:beforeLines="0" w:afterLines="0" w:line="60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b/>
          <w:color w:val="auto"/>
          <w:kern w:val="2"/>
          <w:sz w:val="30"/>
          <w:szCs w:val="24"/>
          <w:highlight w:val="none"/>
          <w:lang w:val="en-US"/>
        </w:rPr>
        <w:t>第一部分  概 况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一、主要职责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二、机构设置情况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b/>
          <w:color w:val="auto"/>
          <w:kern w:val="2"/>
          <w:sz w:val="30"/>
          <w:szCs w:val="24"/>
          <w:highlight w:val="none"/>
          <w:lang w:val="en-US"/>
        </w:rPr>
        <w:t>第二部分  2024年单位预算情况说明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一、关于收支总体情况表的说明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二、关于收入总体情况表的说明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三、关于支出总体情况表的说明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四、关于财政拨款收支总体情况表的说明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五、关于一般公共预算支出情况的说明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六、关于一般公共预算基本支出情况表的说明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七、关于一般公共预算“三公”经费支出情况表的说明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八、关于政府性基金预算支出情况表的说明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九、关于国有资本经营预算支出情况表的说明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十、其他重要事项的情况说明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b/>
          <w:color w:val="auto"/>
          <w:kern w:val="2"/>
          <w:sz w:val="30"/>
          <w:szCs w:val="24"/>
          <w:highlight w:val="none"/>
          <w:lang w:val="en-US"/>
        </w:rPr>
        <w:t>第三部分  名词解释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b/>
          <w:color w:val="auto"/>
          <w:kern w:val="2"/>
          <w:sz w:val="30"/>
          <w:szCs w:val="24"/>
          <w:highlight w:val="none"/>
          <w:lang w:val="en-US"/>
        </w:rPr>
        <w:t>第四部分  2024年单位预算表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一、收支总体情况表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二、收入总体情况表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三、支出总体情况表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sectPr>
          <w:footerReference r:id="rId3" w:type="default"/>
          <w:pgSz w:w="12240" w:h="15840"/>
          <w:pgMar w:top="1440" w:right="1800" w:bottom="1440" w:left="1800" w:header="720" w:footer="720" w:gutter="0"/>
          <w:lnNumType w:countBy="0" w:distance="360"/>
          <w:pgNumType w:start="1"/>
          <w:cols w:space="720" w:num="1"/>
        </w:sectPr>
      </w:pP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四、财政拨款收支总体情况表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五、一般公共预算支出情况表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六、一般公共预算基本支出情况表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七、一般公共预算“三公”经费支出情况表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八、政府性基金预算支出情况表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九、国有资本经营预算支出情况表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十、项目支出表</w:t>
      </w:r>
    </w:p>
    <w:p>
      <w:pPr>
        <w:spacing w:beforeLines="0" w:afterLines="0" w:line="600" w:lineRule="exact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十一、关于空表的说明</w:t>
      </w: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ab/>
      </w: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default" w:ascii="Times New Roman" w:hAnsi="Times New Roman" w:eastAsia="Times New Roman"/>
          <w:color w:val="auto"/>
          <w:kern w:val="2"/>
          <w:sz w:val="44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default" w:ascii="Times New Roman" w:hAnsi="Times New Roman" w:eastAsia="Times New Roman"/>
          <w:color w:val="auto"/>
          <w:kern w:val="2"/>
          <w:sz w:val="44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default" w:ascii="Times New Roman" w:hAnsi="Times New Roman" w:eastAsia="Times New Roman"/>
          <w:color w:val="auto"/>
          <w:kern w:val="2"/>
          <w:sz w:val="44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方正小标宋简体" w:hAnsi="方正小标宋简体" w:eastAsia="方正小标宋简体"/>
          <w:b/>
          <w:color w:val="auto"/>
          <w:kern w:val="44"/>
          <w:sz w:val="44"/>
          <w:szCs w:val="24"/>
          <w:highlight w:val="none"/>
          <w:lang w:val="en-US"/>
        </w:rPr>
        <w:sectPr>
          <w:footerReference r:id="rId4" w:type="default"/>
          <w:pgSz w:w="12240" w:h="15840"/>
          <w:pgMar w:top="1440" w:right="1800" w:bottom="1440" w:left="1800" w:header="720" w:footer="720" w:gutter="0"/>
          <w:lnNumType w:countBy="0" w:distance="360"/>
          <w:pgNumType w:start="1"/>
          <w:cols w:space="720" w:num="1"/>
        </w:sectPr>
      </w:pPr>
    </w:p>
    <w:p>
      <w:pPr>
        <w:spacing w:beforeLines="0" w:afterLines="0" w:line="580" w:lineRule="exact"/>
        <w:jc w:val="center"/>
        <w:rPr>
          <w:rFonts w:hint="eastAsia" w:ascii="方正小标宋简体" w:hAnsi="方正小标宋简体" w:eastAsia="方正小标宋简体"/>
          <w:b/>
          <w:color w:val="auto"/>
          <w:kern w:val="44"/>
          <w:sz w:val="44"/>
          <w:szCs w:val="24"/>
          <w:highlight w:val="none"/>
          <w:lang w:val="en-US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color w:val="auto"/>
          <w:kern w:val="2"/>
          <w:sz w:val="44"/>
          <w:szCs w:val="24"/>
          <w:highlight w:val="none"/>
          <w:lang w:val="zh-CN"/>
        </w:rPr>
      </w:pPr>
      <w:r>
        <w:rPr>
          <w:rFonts w:hint="eastAsia" w:ascii="方正小标宋简体" w:hAnsi="方正小标宋简体" w:eastAsia="方正小标宋简体"/>
          <w:b/>
          <w:color w:val="auto"/>
          <w:kern w:val="44"/>
          <w:sz w:val="44"/>
          <w:szCs w:val="24"/>
          <w:highlight w:val="none"/>
          <w:lang w:val="en-US"/>
        </w:rPr>
        <w:t>第一部分  概 况</w:t>
      </w:r>
    </w:p>
    <w:p>
      <w:pPr>
        <w:spacing w:beforeLines="0" w:afterLines="0" w:line="580" w:lineRule="exact"/>
        <w:ind w:firstLine="480"/>
        <w:jc w:val="both"/>
        <w:rPr>
          <w:rFonts w:hint="default" w:ascii="Times New Roman" w:hAnsi="Times New Roman" w:eastAsia="Times New Roman"/>
          <w:color w:val="auto"/>
          <w:kern w:val="2"/>
          <w:sz w:val="24"/>
          <w:szCs w:val="24"/>
          <w:highlight w:val="none"/>
          <w:lang w:val="zh-CN"/>
        </w:rPr>
      </w:pPr>
    </w:p>
    <w:p>
      <w:pPr>
        <w:pStyle w:val="3"/>
        <w:keepNext/>
        <w:keepLines/>
        <w:spacing w:before="260" w:beforeLines="0" w:after="260" w:afterLines="0" w:line="600" w:lineRule="exact"/>
        <w:ind w:firstLine="602"/>
        <w:rPr>
          <w:rFonts w:hint="eastAsia" w:ascii="黑体" w:hAnsi="黑体" w:eastAsia="黑体"/>
          <w:b/>
          <w:color w:val="auto"/>
          <w:sz w:val="30"/>
          <w:szCs w:val="24"/>
          <w:highlight w:val="none"/>
          <w:lang w:val="en-US"/>
        </w:rPr>
      </w:pPr>
      <w:r>
        <w:rPr>
          <w:rFonts w:hint="eastAsia" w:ascii="黑体" w:hAnsi="黑体" w:eastAsia="黑体"/>
          <w:b/>
          <w:color w:val="auto"/>
          <w:sz w:val="30"/>
          <w:szCs w:val="24"/>
          <w:highlight w:val="none"/>
          <w:lang w:val="en-US"/>
        </w:rPr>
        <w:t>一、主要职责</w:t>
      </w:r>
    </w:p>
    <w:p>
      <w:pPr>
        <w:spacing w:beforeLines="0" w:afterLines="0" w:line="580" w:lineRule="exact"/>
        <w:ind w:firstLine="600" w:firstLineChars="200"/>
        <w:rPr>
          <w:rFonts w:hint="eastAsia" w:ascii="Times New Roman" w:hAnsi="Times New Roman" w:eastAsia="仿宋_GB2312"/>
          <w:color w:val="auto"/>
          <w:sz w:val="30"/>
          <w:szCs w:val="24"/>
          <w:highlight w:val="none"/>
        </w:rPr>
      </w:pPr>
      <w:r>
        <w:rPr>
          <w:rFonts w:hint="eastAsia" w:ascii="Times New Roman" w:hAnsi="Times New Roman" w:eastAsia="仿宋_GB2312"/>
          <w:color w:val="auto"/>
          <w:sz w:val="30"/>
          <w:szCs w:val="24"/>
          <w:highlight w:val="none"/>
        </w:rPr>
        <w:t>天津歌舞剧院为天津市唯一综合表演艺术团体，承担本市各项大型活动和高访的重要任务。开展舞台美术作品创作、国内外舞台艺术作品演出、艺术创作、表演人才培养及相关社会服务等工作。</w:t>
      </w:r>
    </w:p>
    <w:p>
      <w:pPr>
        <w:pStyle w:val="3"/>
        <w:keepNext/>
        <w:keepLines/>
        <w:spacing w:before="260" w:beforeLines="0" w:after="260" w:afterLines="0" w:line="600" w:lineRule="exact"/>
        <w:ind w:firstLine="602"/>
        <w:rPr>
          <w:rFonts w:hint="eastAsia" w:ascii="黑体" w:hAnsi="黑体" w:eastAsia="黑体"/>
          <w:b/>
          <w:color w:val="auto"/>
          <w:sz w:val="30"/>
          <w:szCs w:val="24"/>
          <w:highlight w:val="none"/>
          <w:lang w:val="en-US"/>
        </w:rPr>
      </w:pPr>
      <w:r>
        <w:rPr>
          <w:rFonts w:hint="eastAsia" w:ascii="黑体" w:hAnsi="黑体" w:eastAsia="黑体"/>
          <w:b/>
          <w:color w:val="auto"/>
          <w:sz w:val="30"/>
          <w:szCs w:val="24"/>
          <w:highlight w:val="none"/>
          <w:lang w:val="en-US"/>
        </w:rPr>
        <w:t>二、机构设置情况</w:t>
      </w:r>
    </w:p>
    <w:p>
      <w:pPr>
        <w:spacing w:beforeLines="0" w:afterLines="0" w:line="600" w:lineRule="exact"/>
        <w:ind w:firstLine="600" w:firstLineChars="200"/>
        <w:rPr>
          <w:rFonts w:hint="eastAsia" w:ascii="Times New Roman" w:hAnsi="Times New Roman" w:eastAsia="仿宋_GB2312"/>
          <w:color w:val="auto"/>
          <w:sz w:val="30"/>
          <w:szCs w:val="24"/>
          <w:highlight w:val="none"/>
        </w:rPr>
      </w:pPr>
      <w:r>
        <w:rPr>
          <w:rFonts w:hint="eastAsia" w:ascii="Times New Roman" w:hAnsi="Times New Roman" w:eastAsia="仿宋_GB2312"/>
          <w:color w:val="auto"/>
          <w:sz w:val="30"/>
          <w:szCs w:val="24"/>
          <w:highlight w:val="none"/>
        </w:rPr>
        <w:t>天津歌舞剧院内设九个科室，分别是</w:t>
      </w:r>
      <w:r>
        <w:rPr>
          <w:rFonts w:hint="eastAsia" w:ascii="Times New Roman" w:hAnsi="Times New Roman" w:eastAsia="仿宋_GB2312"/>
          <w:color w:val="auto"/>
          <w:sz w:val="30"/>
          <w:szCs w:val="24"/>
          <w:highlight w:val="none"/>
          <w:lang w:eastAsia="zh-CN"/>
        </w:rPr>
        <w:t>：</w:t>
      </w:r>
      <w:r>
        <w:rPr>
          <w:rFonts w:hint="eastAsia" w:ascii="Times New Roman" w:hAnsi="Times New Roman" w:eastAsia="仿宋_GB2312"/>
          <w:color w:val="auto"/>
          <w:sz w:val="30"/>
          <w:szCs w:val="24"/>
          <w:highlight w:val="none"/>
        </w:rPr>
        <w:t>综合办公室、财务科、人保科、演出策划部、培训中心、歌舞团、歌剧团、芭蕾舞团、舞美中心。</w:t>
      </w:r>
    </w:p>
    <w:p>
      <w:pPr>
        <w:spacing w:beforeLines="0" w:afterLines="0" w:line="600" w:lineRule="exact"/>
        <w:ind w:firstLine="600"/>
        <w:jc w:val="both"/>
        <w:rPr>
          <w:rFonts w:hint="eastAsia" w:ascii="黑体" w:hAnsi="黑体" w:eastAsia="黑体"/>
          <w:color w:val="auto"/>
          <w:kern w:val="2"/>
          <w:sz w:val="44"/>
          <w:szCs w:val="24"/>
          <w:highlight w:val="none"/>
          <w:lang w:val="en-US"/>
        </w:rPr>
      </w:pPr>
    </w:p>
    <w:p>
      <w:pPr>
        <w:spacing w:beforeLines="0" w:afterLines="0" w:line="600" w:lineRule="exact"/>
        <w:jc w:val="both"/>
        <w:rPr>
          <w:rFonts w:hint="eastAsia" w:ascii="黑体" w:hAnsi="黑体" w:eastAsia="黑体"/>
          <w:color w:val="auto"/>
          <w:kern w:val="2"/>
          <w:sz w:val="44"/>
          <w:szCs w:val="24"/>
          <w:highlight w:val="none"/>
          <w:lang w:val="en-US"/>
        </w:rPr>
      </w:pPr>
    </w:p>
    <w:p>
      <w:pPr>
        <w:spacing w:beforeLines="0" w:afterLines="0" w:line="600" w:lineRule="exact"/>
        <w:jc w:val="both"/>
        <w:rPr>
          <w:rFonts w:hint="eastAsia" w:ascii="黑体" w:hAnsi="黑体" w:eastAsia="黑体"/>
          <w:color w:val="auto"/>
          <w:kern w:val="2"/>
          <w:sz w:val="44"/>
          <w:szCs w:val="24"/>
          <w:highlight w:val="none"/>
          <w:lang w:val="en-US"/>
        </w:rPr>
      </w:pPr>
    </w:p>
    <w:p>
      <w:pPr>
        <w:spacing w:beforeLines="0" w:afterLines="0" w:line="600" w:lineRule="exact"/>
        <w:jc w:val="both"/>
        <w:rPr>
          <w:rFonts w:hint="eastAsia" w:ascii="黑体" w:hAnsi="黑体" w:eastAsia="黑体"/>
          <w:color w:val="auto"/>
          <w:kern w:val="2"/>
          <w:sz w:val="44"/>
          <w:szCs w:val="24"/>
          <w:highlight w:val="none"/>
          <w:lang w:val="en-US"/>
        </w:rPr>
      </w:pPr>
    </w:p>
    <w:p>
      <w:pPr>
        <w:spacing w:beforeLines="0" w:afterLines="0" w:line="600" w:lineRule="exact"/>
        <w:jc w:val="both"/>
        <w:rPr>
          <w:rFonts w:hint="eastAsia" w:ascii="黑体" w:hAnsi="黑体" w:eastAsia="黑体"/>
          <w:color w:val="auto"/>
          <w:kern w:val="2"/>
          <w:sz w:val="44"/>
          <w:szCs w:val="24"/>
          <w:highlight w:val="none"/>
          <w:lang w:val="en-US"/>
        </w:rPr>
      </w:pPr>
    </w:p>
    <w:p>
      <w:pPr>
        <w:spacing w:beforeLines="0" w:afterLines="0" w:line="600" w:lineRule="exact"/>
        <w:jc w:val="both"/>
        <w:rPr>
          <w:rFonts w:hint="eastAsia" w:ascii="黑体" w:hAnsi="黑体" w:eastAsia="黑体"/>
          <w:color w:val="auto"/>
          <w:kern w:val="2"/>
          <w:sz w:val="44"/>
          <w:szCs w:val="24"/>
          <w:highlight w:val="none"/>
          <w:lang w:val="en-US"/>
        </w:rPr>
      </w:pPr>
    </w:p>
    <w:p>
      <w:pPr>
        <w:spacing w:beforeLines="0" w:afterLines="0" w:line="600" w:lineRule="exact"/>
        <w:jc w:val="both"/>
        <w:rPr>
          <w:rFonts w:hint="eastAsia" w:ascii="黑体" w:hAnsi="黑体" w:eastAsia="黑体"/>
          <w:color w:val="auto"/>
          <w:kern w:val="2"/>
          <w:sz w:val="44"/>
          <w:szCs w:val="24"/>
          <w:highlight w:val="none"/>
          <w:lang w:val="en-US"/>
        </w:rPr>
      </w:pPr>
    </w:p>
    <w:p>
      <w:pPr>
        <w:spacing w:beforeLines="0" w:afterLines="0" w:line="600" w:lineRule="exact"/>
        <w:jc w:val="both"/>
        <w:rPr>
          <w:rFonts w:hint="eastAsia" w:ascii="黑体" w:hAnsi="黑体" w:eastAsia="黑体"/>
          <w:color w:val="auto"/>
          <w:kern w:val="2"/>
          <w:sz w:val="44"/>
          <w:szCs w:val="24"/>
          <w:highlight w:val="none"/>
          <w:lang w:val="en-US"/>
        </w:rPr>
      </w:pPr>
    </w:p>
    <w:p>
      <w:pPr>
        <w:spacing w:beforeLines="0" w:afterLines="0" w:line="600" w:lineRule="exact"/>
        <w:jc w:val="both"/>
        <w:rPr>
          <w:rFonts w:hint="eastAsia" w:ascii="黑体" w:hAnsi="黑体" w:eastAsia="黑体"/>
          <w:color w:val="auto"/>
          <w:kern w:val="2"/>
          <w:sz w:val="44"/>
          <w:szCs w:val="24"/>
          <w:highlight w:val="none"/>
          <w:lang w:val="en-US"/>
        </w:rPr>
      </w:pPr>
    </w:p>
    <w:p>
      <w:pPr>
        <w:spacing w:beforeLines="0" w:afterLines="0" w:line="360" w:lineRule="atLeast"/>
        <w:jc w:val="both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b/>
          <w:color w:val="auto"/>
          <w:kern w:val="2"/>
          <w:sz w:val="44"/>
          <w:szCs w:val="24"/>
          <w:highlight w:val="none"/>
          <w:lang w:val="en-US"/>
        </w:rPr>
      </w:pPr>
      <w:r>
        <w:rPr>
          <w:rFonts w:hint="eastAsia" w:ascii="方正小标宋简体" w:hAnsi="方正小标宋简体" w:eastAsia="方正小标宋简体"/>
          <w:b/>
          <w:color w:val="auto"/>
          <w:kern w:val="44"/>
          <w:sz w:val="44"/>
          <w:szCs w:val="24"/>
          <w:highlight w:val="none"/>
          <w:lang w:val="zh-CN"/>
        </w:rPr>
        <w:t xml:space="preserve">第二部分 </w:t>
      </w:r>
      <w:r>
        <w:rPr>
          <w:rFonts w:hint="eastAsia" w:ascii="方正小标宋简体" w:hAnsi="方正小标宋简体" w:eastAsia="方正小标宋简体"/>
          <w:b/>
          <w:color w:val="auto"/>
          <w:kern w:val="44"/>
          <w:sz w:val="44"/>
          <w:szCs w:val="24"/>
          <w:highlight w:val="none"/>
          <w:lang w:val="en-US"/>
        </w:rPr>
        <w:t xml:space="preserve"> 2024年单位预算情况说明</w:t>
      </w:r>
    </w:p>
    <w:p>
      <w:pPr>
        <w:spacing w:beforeLines="0" w:afterLines="0" w:line="580" w:lineRule="exact"/>
        <w:ind w:firstLine="600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en-US"/>
        </w:rPr>
      </w:pPr>
    </w:p>
    <w:p>
      <w:pPr>
        <w:pStyle w:val="3"/>
        <w:keepNext/>
        <w:keepLines/>
        <w:spacing w:before="260" w:beforeLines="0" w:after="260" w:afterLines="0" w:line="600" w:lineRule="exact"/>
        <w:ind w:firstLine="600"/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  <w:t>一、关于收支总体情况表的说明</w:t>
      </w:r>
    </w:p>
    <w:p>
      <w:pPr>
        <w:spacing w:beforeLines="0" w:afterLines="0" w:line="580" w:lineRule="exact"/>
        <w:ind w:firstLine="600"/>
        <w:jc w:val="both"/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zh-CN"/>
        </w:rPr>
        <w:t>按照综合预算的原则，天津歌舞剧院</w:t>
      </w: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所有收入和支出均纳入单位预算管理。收入包括：一般公共预算拨款收入</w:t>
      </w:r>
      <w:r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5,461.7</w:t>
      </w: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zh-CN"/>
        </w:rPr>
        <w:t>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、政府性基金预算拨款收入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、国有资本经营预算拨款收入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、财政专户管理资金收入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、事业收入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2,000万元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、事业单位经营收入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、上级补助收入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、附属单位上缴收入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、其他收入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4,960万元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、上年结转结余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320.2万元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；支出包括：教育支出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、文化旅游体育与传媒支出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11,709.9万元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、社会保障和就业支出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795.3万元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、卫生健康支出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236.7万元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、债务付息支出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0万元，年终结转结余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。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天津歌舞剧院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2024年收支总预算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12,741.9万元。</w:t>
      </w:r>
    </w:p>
    <w:p>
      <w:pPr>
        <w:pStyle w:val="3"/>
        <w:keepNext/>
        <w:keepLines/>
        <w:spacing w:before="260" w:beforeLines="0" w:after="260" w:afterLines="0" w:line="600" w:lineRule="exact"/>
        <w:ind w:firstLine="600"/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  <w:t>二、关于收入总体情况表的说明</w:t>
      </w:r>
    </w:p>
    <w:p>
      <w:pPr>
        <w:spacing w:beforeLines="0" w:afterLines="0" w:line="580" w:lineRule="exact"/>
        <w:ind w:firstLine="600"/>
        <w:jc w:val="both"/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天津歌舞剧院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2024年单位预算收入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12,741.9万元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，与2023年预算相比减少10,214.3万元，主要原因是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 w:eastAsia="zh-CN"/>
        </w:rPr>
        <w:t>天津歌舞剧院、天津交响乐团迁址扩建项目预算收入减少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。其中：上年结转结余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320.2万元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，占2.5</w:t>
      </w:r>
      <w:r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%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；一般公共预算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5,461.7万元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，占42.9</w:t>
      </w:r>
      <w:r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%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；政府性基金预算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，占0.0</w:t>
      </w:r>
      <w:r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%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；国有资本经营预算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，占0.0</w:t>
      </w:r>
      <w:r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%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；财政专户管理资金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，占0.0</w:t>
      </w:r>
      <w:r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%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；事业收入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2,000万元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，占15.7</w:t>
      </w:r>
      <w:r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%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；事业单位经营收入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，占0.0</w:t>
      </w:r>
      <w:r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%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；上级补助收入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，占0.0</w:t>
      </w:r>
      <w:r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%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；附属单位上缴收入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，占0.0</w:t>
      </w:r>
      <w:r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%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；其他收入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4,960万元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，占38.9</w:t>
      </w:r>
      <w:r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%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。</w:t>
      </w:r>
    </w:p>
    <w:p>
      <w:pPr>
        <w:pStyle w:val="3"/>
        <w:keepNext/>
        <w:keepLines/>
        <w:spacing w:before="260" w:beforeLines="0" w:after="260" w:afterLines="0" w:line="600" w:lineRule="exact"/>
        <w:ind w:firstLine="600"/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  <w:t>三、关于支出总体情况表的说明</w:t>
      </w:r>
    </w:p>
    <w:p>
      <w:pPr>
        <w:spacing w:beforeLines="0" w:afterLines="0" w:line="580" w:lineRule="exact"/>
        <w:ind w:firstLine="600"/>
        <w:jc w:val="both"/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天津歌舞剧院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2024年支出预算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12,741.9万元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，与2023年预算相比减少10,214.3万元，主要原因是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 w:eastAsia="zh-CN"/>
        </w:rPr>
        <w:t>天津歌舞剧院、天津交响乐团迁址扩建项目预算支出减少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。其中：基本支出6,467.2万元，占50.8</w:t>
      </w:r>
      <w:r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%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；项目支出6,274.7万元，占49.2</w:t>
      </w:r>
      <w:r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%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；事业单位经营支出0万元，占0.0</w:t>
      </w:r>
      <w:r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%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；上缴上级支出0万元，占0.0</w:t>
      </w:r>
      <w:r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%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；对附属单位补助支出0万元，占0.0</w:t>
      </w:r>
      <w:r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%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。</w:t>
      </w:r>
    </w:p>
    <w:p>
      <w:pPr>
        <w:pStyle w:val="3"/>
        <w:keepNext/>
        <w:keepLines/>
        <w:spacing w:before="260" w:beforeLines="0" w:after="260" w:afterLines="0" w:line="600" w:lineRule="exact"/>
        <w:ind w:firstLine="600"/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  <w:t>四、关于财政拨款收支总体情况表的说明</w:t>
      </w:r>
    </w:p>
    <w:p>
      <w:pPr>
        <w:spacing w:beforeLines="0" w:afterLines="0" w:line="580" w:lineRule="exact"/>
        <w:ind w:firstLine="600"/>
        <w:jc w:val="both"/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天津歌舞剧院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2024年财政拨款收入预算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5,461.7万元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，与2023年预算相比增加193.6万元，主要原因是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 w:eastAsia="zh-CN"/>
        </w:rPr>
        <w:t>一般公共预算财政拨款收入增加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。收入包括：一般公共预算拨款收入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5,461.7万元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、政府性基金预算拨款收入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、国有资本经营预算拨款收入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、上年财政结转结余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。2024年财政拨款支出预算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5,461.7万元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，与2023年预算相比增加193.6万元，主要原因是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 w:eastAsia="zh-CN"/>
        </w:rPr>
        <w:t>一般公共预算财政拨款收入增加，相应财政拨款支出增加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。支出包括：教育支出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、文化旅游体育与传媒支出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4,429.7万元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、社会保障和就业支出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795.3万元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、卫生健康支出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236.7万元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、债务付息支出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。</w:t>
      </w:r>
    </w:p>
    <w:p>
      <w:pPr>
        <w:pStyle w:val="3"/>
        <w:keepNext/>
        <w:keepLines/>
        <w:spacing w:before="260" w:beforeLines="0" w:after="260" w:afterLines="0" w:line="600" w:lineRule="exact"/>
        <w:ind w:firstLine="600"/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  <w:t>五、关于一般公共预算支出情况表的说明</w:t>
      </w:r>
    </w:p>
    <w:p>
      <w:pPr>
        <w:pStyle w:val="3"/>
        <w:keepNext/>
        <w:keepLines/>
        <w:spacing w:before="260" w:beforeLines="0" w:after="260" w:afterLines="0" w:line="600" w:lineRule="exact"/>
        <w:ind w:firstLine="600"/>
        <w:rPr>
          <w:rFonts w:hint="eastAsia" w:ascii="楷体" w:hAnsi="楷体" w:eastAsia="楷体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" w:hAnsi="楷体" w:eastAsia="楷体"/>
          <w:b/>
          <w:color w:val="auto"/>
          <w:kern w:val="2"/>
          <w:sz w:val="30"/>
          <w:szCs w:val="24"/>
          <w:highlight w:val="none"/>
          <w:lang w:val="en-US"/>
        </w:rPr>
        <w:t>（一）总体情况。</w:t>
      </w:r>
    </w:p>
    <w:p>
      <w:pPr>
        <w:spacing w:beforeLines="0" w:afterLines="0" w:line="580" w:lineRule="exact"/>
        <w:ind w:firstLine="600"/>
        <w:jc w:val="both"/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天津歌舞剧院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2024年一般公共预算支出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5,461.7万元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，与2023年预算相比增加193.6万元，主要原因是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 w:eastAsia="zh-CN"/>
        </w:rPr>
        <w:t>一般公共预算财政拨款收入增加，相应财政拨款支出增加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。</w:t>
      </w:r>
    </w:p>
    <w:p>
      <w:pPr>
        <w:spacing w:beforeLines="0" w:afterLines="0" w:line="600" w:lineRule="exact"/>
        <w:ind w:firstLine="600"/>
        <w:jc w:val="both"/>
        <w:rPr>
          <w:rFonts w:hint="eastAsia" w:ascii="楷体" w:hAnsi="楷体" w:eastAsia="楷体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" w:hAnsi="楷体" w:eastAsia="楷体"/>
          <w:b/>
          <w:color w:val="auto"/>
          <w:kern w:val="2"/>
          <w:sz w:val="30"/>
          <w:szCs w:val="24"/>
          <w:highlight w:val="none"/>
          <w:lang w:val="en-US"/>
        </w:rPr>
        <w:t>（二）具体情况。</w:t>
      </w:r>
    </w:p>
    <w:p>
      <w:pPr>
        <w:spacing w:beforeLines="0" w:afterLines="0" w:line="580" w:lineRule="exact"/>
        <w:ind w:firstLine="600"/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</w:pPr>
      <w:r>
        <w:rPr>
          <w:rFonts w:hint="eastAsia" w:ascii="仿宋" w:hAnsi="仿宋" w:eastAsia="仿宋"/>
          <w:color w:val="auto"/>
          <w:sz w:val="30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30"/>
          <w:szCs w:val="24"/>
          <w:highlight w:val="none"/>
          <w:lang w:val="zh-CN"/>
        </w:rPr>
        <w:t>、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“文化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 w:eastAsia="zh-CN"/>
        </w:rPr>
        <w:t>旅游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体育与传媒支出”4,429.7万元，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与2023年预算相比增加183.5万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，主要原因是</w:t>
      </w:r>
      <w:r>
        <w:rPr>
          <w:rFonts w:hint="eastAsia" w:eastAsia="仿宋_GB2312"/>
          <w:color w:val="auto"/>
          <w:kern w:val="2"/>
          <w:sz w:val="30"/>
          <w:szCs w:val="24"/>
          <w:highlight w:val="none"/>
          <w:lang w:val="en-US" w:eastAsia="zh-CN"/>
        </w:rPr>
        <w:t>人员信息变化导致人员经费增加，增加精品剧目创作项目预算，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其中：</w:t>
      </w:r>
    </w:p>
    <w:p>
      <w:pPr>
        <w:spacing w:beforeLines="0" w:afterLines="0" w:line="580" w:lineRule="exact"/>
        <w:ind w:firstLine="600"/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“文化和旅游”4,429.7万元，包括: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“艺术表演团体”4,429.7万元，主要用于：</w:t>
      </w:r>
      <w:r>
        <w:rPr>
          <w:rFonts w:hint="eastAsia" w:eastAsia="仿宋_GB2312"/>
          <w:color w:val="auto"/>
          <w:kern w:val="2"/>
          <w:sz w:val="30"/>
          <w:szCs w:val="24"/>
          <w:highlight w:val="none"/>
          <w:lang w:val="en-US" w:eastAsia="zh-CN"/>
        </w:rPr>
        <w:t>剧院人员经费、公用经费、项目经费预</w:t>
      </w:r>
      <w:bookmarkStart w:id="0" w:name="_GoBack"/>
      <w:bookmarkEnd w:id="0"/>
      <w:r>
        <w:rPr>
          <w:rFonts w:hint="eastAsia" w:eastAsia="仿宋_GB2312"/>
          <w:color w:val="auto"/>
          <w:kern w:val="2"/>
          <w:sz w:val="30"/>
          <w:szCs w:val="24"/>
          <w:highlight w:val="none"/>
          <w:lang w:val="en-US" w:eastAsia="zh-CN"/>
        </w:rPr>
        <w:t>算支出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</w:t>
      </w:r>
    </w:p>
    <w:p>
      <w:pPr>
        <w:spacing w:beforeLines="0" w:afterLines="0" w:line="580" w:lineRule="exact"/>
        <w:ind w:firstLine="600"/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" w:hAnsi="仿宋" w:eastAsia="仿宋"/>
          <w:color w:val="auto"/>
          <w:sz w:val="30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0"/>
          <w:szCs w:val="24"/>
          <w:highlight w:val="none"/>
          <w:lang w:val="zh-CN"/>
        </w:rPr>
        <w:t>、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“社会保障和就业支出”795.3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万元，与2023年预算相比增加14.5万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，主要原因是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 w:eastAsia="zh-CN"/>
        </w:rPr>
        <w:t>人员信息变化导致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养老支出和职业年金支出增加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，其中：</w:t>
      </w:r>
    </w:p>
    <w:p>
      <w:pPr>
        <w:spacing w:beforeLines="0" w:afterLines="0" w:line="580" w:lineRule="exact"/>
        <w:ind w:firstLine="600"/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“行政事业单位养老支出”795.3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万元，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包括: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“机关事业单位基本养老保险缴费支出”530.2万元，主要用于：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 w:eastAsia="zh-CN"/>
        </w:rPr>
        <w:t>单位职工的养老保险缴费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；“机关事业单位职业年金缴费支出”265.1万元，主要用于：单位职工的职业年金缴费；</w:t>
      </w:r>
    </w:p>
    <w:p>
      <w:pPr>
        <w:spacing w:beforeLines="0" w:afterLines="0" w:line="580" w:lineRule="exact"/>
        <w:ind w:firstLine="600"/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" w:hAnsi="仿宋" w:eastAsia="仿宋"/>
          <w:color w:val="auto"/>
          <w:sz w:val="30"/>
          <w:szCs w:val="24"/>
          <w:highlight w:val="none"/>
          <w:lang w:val="en-US"/>
        </w:rPr>
        <w:t>4</w:t>
      </w:r>
      <w:r>
        <w:rPr>
          <w:rFonts w:hint="eastAsia" w:ascii="仿宋" w:hAnsi="仿宋" w:eastAsia="仿宋"/>
          <w:color w:val="auto"/>
          <w:sz w:val="30"/>
          <w:szCs w:val="24"/>
          <w:highlight w:val="none"/>
          <w:lang w:val="zh-CN"/>
        </w:rPr>
        <w:t>、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“卫生健康支出”236.7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万元，与2023年预算相比减少4.4万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，主要原因是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 w:eastAsia="zh-CN"/>
        </w:rPr>
        <w:t>人员信息变化导致卫生健康支出减少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，其中：</w:t>
      </w:r>
    </w:p>
    <w:p>
      <w:pPr>
        <w:spacing w:beforeLines="0" w:afterLines="0" w:line="580" w:lineRule="exact"/>
        <w:ind w:firstLine="600"/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“行政事业单位医疗”236.7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万元，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包括: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“事业单位医疗”175.7万元，主要用于：单位职工的医疗保险缴费；“其他行政事业单位医疗支出”61万元，主要用于：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 w:eastAsia="zh-CN"/>
        </w:rPr>
        <w:t>单位职工其他医疗费支出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；</w:t>
      </w:r>
    </w:p>
    <w:p>
      <w:pPr>
        <w:pStyle w:val="3"/>
        <w:keepNext/>
        <w:keepLines/>
        <w:spacing w:before="260" w:beforeLines="0" w:after="260" w:afterLines="0" w:line="600" w:lineRule="exact"/>
        <w:ind w:firstLine="600"/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  <w:t>六、关于一般公共预算基本支出情况表的说明</w:t>
      </w:r>
    </w:p>
    <w:p>
      <w:pPr>
        <w:spacing w:beforeLines="0" w:afterLines="0" w:line="580" w:lineRule="exact"/>
        <w:ind w:firstLine="600"/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天津歌舞剧院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一般公共预算基本支出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4,955.7万元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，与2023年预算相比增加143.6万元，主要原因是</w:t>
      </w:r>
      <w:r>
        <w:rPr>
          <w:rFonts w:hint="eastAsia" w:eastAsia="仿宋_GB2312"/>
          <w:color w:val="auto"/>
          <w:kern w:val="2"/>
          <w:sz w:val="30"/>
          <w:szCs w:val="24"/>
          <w:highlight w:val="none"/>
          <w:lang w:val="en-US" w:eastAsia="zh-CN"/>
        </w:rPr>
        <w:t>人员信息变化导致人员经费增加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。其中：</w:t>
      </w:r>
    </w:p>
    <w:p>
      <w:pPr>
        <w:spacing w:beforeLines="0" w:afterLines="0" w:line="580" w:lineRule="exact"/>
        <w:ind w:firstLine="600"/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人员经费4,806.8万元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，主要包括：</w:t>
      </w:r>
    </w:p>
    <w:p>
      <w:pPr>
        <w:spacing w:beforeLines="0" w:afterLines="0" w:line="580" w:lineRule="exact"/>
        <w:ind w:firstLine="600"/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“基本工资”1,580万元、“津贴补贴”630万元、“绩效工资”800万元、“机关事业单位基本养老保险缴费”530.2万元、“职业年金缴费”265.1万元、“职工基本医疗保险缴费”165.7万元、“其他社会保障缴费”43.3万元、“住房公积金”410万元、“医疗费”22.1万元、“其他工资福利支出”43.3万元、“离休费”100万元、“退休费”168万元、“医疗费补助”48.9万元、“奖励金”0.2万元。</w:t>
      </w:r>
    </w:p>
    <w:p>
      <w:pPr>
        <w:spacing w:beforeLines="0" w:afterLines="0" w:line="580" w:lineRule="exact"/>
        <w:ind w:firstLine="600"/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公用经费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148.9万元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，主要包括：</w:t>
      </w:r>
    </w:p>
    <w:p>
      <w:pPr>
        <w:spacing w:beforeLines="0" w:afterLines="0" w:line="580" w:lineRule="exact"/>
        <w:ind w:firstLine="600"/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“水费”2.7万元、“电费”28万元、“取暖费”40万元、“物业管理费”38.4万元、“工会经费”39.8万元。</w:t>
      </w:r>
    </w:p>
    <w:p>
      <w:pPr>
        <w:pStyle w:val="3"/>
        <w:keepNext/>
        <w:keepLines/>
        <w:spacing w:before="260" w:beforeLines="0" w:after="260" w:afterLines="0" w:line="600" w:lineRule="exact"/>
        <w:ind w:firstLine="600"/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  <w:t>七、关于一般公共预算“三公”经费支出情况表的说明</w:t>
      </w:r>
    </w:p>
    <w:p>
      <w:pPr>
        <w:spacing w:beforeLines="0" w:afterLines="0" w:line="580" w:lineRule="exact"/>
        <w:ind w:firstLine="600"/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2024年一般公共预算“三公”经费安排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，与2023年预算相比持平，主要原因是本单位一般公共预算未安排“三公”经费。具体情况：</w:t>
      </w:r>
    </w:p>
    <w:p>
      <w:pPr>
        <w:spacing w:beforeLines="0" w:afterLines="0" w:line="560" w:lineRule="exact"/>
        <w:ind w:firstLine="600"/>
        <w:jc w:val="both"/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一、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2024年因公出国（境）费预算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，与2023年预算相比持平，主要原因是本单位一般公共预算未安排‘因公出国（境）费’经费。</w:t>
      </w:r>
    </w:p>
    <w:p>
      <w:pPr>
        <w:spacing w:beforeLines="0" w:afterLines="0" w:line="560" w:lineRule="exact"/>
        <w:ind w:firstLine="600"/>
        <w:jc w:val="both"/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二、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2024年公务用车购置及运行费预算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，其中公务用车运行费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，与2023年预算相比持平，主要原因是本单位一般公共预算未安排‘公务用车购置及运行费’经费；公务用车购置费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，与2023年预算相比持平，主要原因是本单位一般公共预算未安排‘公务用车购置费’经费。</w:t>
      </w:r>
    </w:p>
    <w:p>
      <w:pPr>
        <w:spacing w:beforeLines="0" w:afterLines="0" w:line="560" w:lineRule="exact"/>
        <w:ind w:firstLine="645"/>
        <w:jc w:val="both"/>
        <w:rPr>
          <w:rFonts w:hint="default" w:ascii="MS Serif" w:hAnsi="MS Serif" w:eastAsia="MS Serif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  <w:t>三、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2024年公务接待费预算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0万元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，与2023年预算相比持平，主要原因是本单位一般公共预算未安排‘公务接待费’经费。</w:t>
      </w:r>
    </w:p>
    <w:p>
      <w:pPr>
        <w:pStyle w:val="3"/>
        <w:keepNext/>
        <w:keepLines/>
        <w:spacing w:before="260" w:beforeLines="0" w:after="260" w:afterLines="0" w:line="600" w:lineRule="exact"/>
        <w:ind w:firstLine="600"/>
        <w:rPr>
          <w:rFonts w:hint="default" w:ascii="Calibri" w:hAnsi="Calibri" w:eastAsia="Calibri"/>
          <w:color w:val="auto"/>
          <w:kern w:val="2"/>
          <w:sz w:val="21"/>
          <w:szCs w:val="24"/>
          <w:highlight w:val="none"/>
          <w:lang w:val="zh-CN"/>
        </w:rPr>
      </w:pPr>
      <w:r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  <w:t>八、关于政府性基金预算支出情况表的说明</w:t>
      </w:r>
    </w:p>
    <w:p>
      <w:pPr>
        <w:spacing w:beforeLines="0" w:afterLines="0" w:line="580" w:lineRule="exact"/>
        <w:ind w:firstLine="600"/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2024年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天津歌舞剧院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预算中没有使用政府性基金预算安排的支出。</w:t>
      </w:r>
    </w:p>
    <w:p>
      <w:pPr>
        <w:pStyle w:val="3"/>
        <w:keepNext/>
        <w:keepLines/>
        <w:spacing w:before="260" w:beforeLines="0" w:after="260" w:afterLines="0" w:line="600" w:lineRule="exact"/>
        <w:ind w:firstLine="600"/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  <w:t>九、关于国有资本经营预算支出情况表的说明</w:t>
      </w:r>
    </w:p>
    <w:p>
      <w:pPr>
        <w:spacing w:beforeLines="0" w:afterLines="0" w:line="580" w:lineRule="exact"/>
        <w:ind w:firstLine="600"/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2024年天津歌舞剧院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预算中没有使用国有资本经营预算安排的支出。</w:t>
      </w:r>
    </w:p>
    <w:p>
      <w:pPr>
        <w:pStyle w:val="3"/>
        <w:keepNext/>
        <w:keepLines/>
        <w:spacing w:before="260" w:beforeLines="0" w:after="260" w:afterLines="0" w:line="600" w:lineRule="exact"/>
        <w:ind w:firstLine="600"/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0"/>
          <w:szCs w:val="24"/>
          <w:highlight w:val="none"/>
          <w:lang w:val="en-US"/>
        </w:rPr>
        <w:t>十、其他重要事项的情况说明</w:t>
      </w:r>
    </w:p>
    <w:p>
      <w:pPr>
        <w:spacing w:beforeLines="0" w:afterLines="0" w:line="600" w:lineRule="exact"/>
        <w:ind w:left="480"/>
        <w:jc w:val="both"/>
        <w:rPr>
          <w:rFonts w:hint="eastAsia" w:ascii="楷体" w:hAnsi="楷体" w:eastAsia="楷体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" w:hAnsi="楷体" w:eastAsia="楷体"/>
          <w:b/>
          <w:color w:val="auto"/>
          <w:kern w:val="2"/>
          <w:sz w:val="30"/>
          <w:szCs w:val="24"/>
          <w:highlight w:val="none"/>
          <w:lang w:val="en-US"/>
        </w:rPr>
        <w:t xml:space="preserve"> （一）机关运行经费。</w:t>
      </w:r>
    </w:p>
    <w:p>
      <w:pPr>
        <w:spacing w:beforeLines="0" w:afterLines="0" w:line="580" w:lineRule="exact"/>
        <w:ind w:firstLine="600"/>
        <w:jc w:val="both"/>
        <w:rPr>
          <w:rFonts w:hint="eastAsia" w:ascii="仿宋" w:hAnsi="仿宋" w:eastAsia="仿宋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仿宋" w:hAnsi="仿宋" w:eastAsia="仿宋"/>
          <w:color w:val="auto"/>
          <w:kern w:val="2"/>
          <w:sz w:val="30"/>
          <w:szCs w:val="24"/>
          <w:highlight w:val="none"/>
          <w:lang w:val="zh-CN"/>
        </w:rPr>
        <w:t xml:space="preserve"> 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天津歌舞剧院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2024年未安排机关运行经费预算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。</w:t>
      </w:r>
    </w:p>
    <w:p>
      <w:pPr>
        <w:spacing w:beforeLines="0" w:afterLines="0" w:line="600" w:lineRule="exact"/>
        <w:ind w:firstLine="602"/>
        <w:jc w:val="both"/>
        <w:rPr>
          <w:rFonts w:hint="default" w:ascii="MS Serif" w:hAnsi="MS Serif" w:eastAsia="MS Serif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" w:hAnsi="楷体" w:eastAsia="楷体"/>
          <w:b/>
          <w:color w:val="auto"/>
          <w:kern w:val="2"/>
          <w:sz w:val="30"/>
          <w:szCs w:val="24"/>
          <w:highlight w:val="none"/>
          <w:lang w:val="en-US"/>
        </w:rPr>
        <w:t>（二）</w:t>
      </w:r>
      <w:r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  <w:t>政府采购情况</w:t>
      </w:r>
      <w:r>
        <w:rPr>
          <w:rFonts w:hint="eastAsia" w:ascii="楷体" w:hAnsi="楷体" w:eastAsia="楷体"/>
          <w:b/>
          <w:color w:val="auto"/>
          <w:kern w:val="2"/>
          <w:sz w:val="30"/>
          <w:szCs w:val="24"/>
          <w:highlight w:val="none"/>
          <w:lang w:val="en-US"/>
        </w:rPr>
        <w:t>。</w:t>
      </w:r>
    </w:p>
    <w:p>
      <w:pPr>
        <w:spacing w:beforeLines="0" w:afterLines="0" w:line="580" w:lineRule="exact"/>
        <w:ind w:firstLine="600"/>
        <w:jc w:val="both"/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本单位2024年安排政府采购预算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5,386.5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万元，其中：政府采购货物支出18.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 w:eastAsia="zh-CN"/>
        </w:rPr>
        <w:t>6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万元、政府采购工程支出4,800万元、政府采购服务支出568万元。主要项目是：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 w:eastAsia="zh-CN"/>
        </w:rPr>
        <w:t>物业管理服务项目150万元，食堂餐饮服务项目70万元，办公和专用设备项目18.6万元，基建工程项目4800万元，出国交流演出项目220万元等。</w:t>
      </w:r>
    </w:p>
    <w:p>
      <w:pPr>
        <w:spacing w:beforeLines="0" w:afterLines="0" w:line="600" w:lineRule="exact"/>
        <w:ind w:firstLine="602"/>
        <w:jc w:val="both"/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  <w:t>（三）国有资产占用情况</w:t>
      </w:r>
      <w:r>
        <w:rPr>
          <w:rFonts w:hint="eastAsia" w:ascii="楷体" w:hAnsi="楷体" w:eastAsia="楷体"/>
          <w:b/>
          <w:color w:val="auto"/>
          <w:kern w:val="2"/>
          <w:sz w:val="30"/>
          <w:szCs w:val="24"/>
          <w:highlight w:val="none"/>
          <w:lang w:val="en-US"/>
        </w:rPr>
        <w:t>。</w:t>
      </w:r>
    </w:p>
    <w:p>
      <w:pPr>
        <w:spacing w:beforeLines="0" w:afterLines="0" w:line="580" w:lineRule="exact"/>
        <w:ind w:firstLine="600"/>
        <w:jc w:val="both"/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截至2023年7月底，本单位共有车辆2辆，其中：副部（省）级及以上领导用车0辆、主要负责人干部用车0辆、机要通信用车0辆、应急保障用车0辆、执法执勤用车0辆、特种专业技术用车0辆、离退休干部服务用车0辆、其他用车2辆，其他用车主要包括业务活动用车。单价（账面原值）100万元以上的设备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台（套）。</w:t>
      </w:r>
    </w:p>
    <w:p>
      <w:pPr>
        <w:spacing w:beforeLines="0" w:afterLines="0" w:line="600" w:lineRule="exact"/>
        <w:ind w:firstLine="602"/>
        <w:jc w:val="both"/>
        <w:rPr>
          <w:rFonts w:hint="default" w:ascii="MS Serif" w:hAnsi="MS Serif" w:eastAsia="MS Serif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  <w:t>（四）预算绩效情况说明。</w:t>
      </w:r>
    </w:p>
    <w:p>
      <w:pPr>
        <w:spacing w:beforeLines="0" w:afterLines="0" w:line="580" w:lineRule="exact"/>
        <w:ind w:firstLine="600"/>
        <w:jc w:val="both"/>
        <w:rPr>
          <w:rFonts w:hint="default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本单位2024年实行绩效目标管理的项目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9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个，涉及预算金额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zh-CN"/>
        </w:rPr>
        <w:t>6,274.7万元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24"/>
          <w:highlight w:val="none"/>
          <w:lang w:val="en-US"/>
        </w:rPr>
        <w:t>。</w:t>
      </w:r>
    </w:p>
    <w:p>
      <w:pPr>
        <w:spacing w:beforeLines="0" w:afterLines="0" w:line="580" w:lineRule="exact"/>
        <w:ind w:firstLine="600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ind w:firstLine="600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ind w:firstLine="600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ind w:firstLine="600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ind w:firstLine="600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ind w:firstLine="600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ind w:firstLine="600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ind w:firstLine="600"/>
        <w:jc w:val="center"/>
        <w:rPr>
          <w:rFonts w:hint="eastAsia" w:ascii="黑体" w:hAnsi="黑体" w:eastAsia="黑体"/>
          <w:color w:val="auto"/>
          <w:kern w:val="2"/>
          <w:sz w:val="30"/>
          <w:szCs w:val="24"/>
          <w:highlight w:val="none"/>
          <w:lang w:val="zh-CN"/>
        </w:rPr>
      </w:pPr>
    </w:p>
    <w:p>
      <w:pPr>
        <w:spacing w:beforeLines="0" w:afterLines="0" w:line="580" w:lineRule="exact"/>
        <w:jc w:val="center"/>
        <w:rPr>
          <w:rFonts w:hint="eastAsia" w:ascii="方正小标宋简体" w:hAnsi="方正小标宋简体" w:eastAsia="方正小标宋简体"/>
          <w:b/>
          <w:color w:val="auto"/>
          <w:kern w:val="44"/>
          <w:sz w:val="44"/>
          <w:szCs w:val="24"/>
          <w:highlight w:val="none"/>
          <w:lang w:val="zh-CN"/>
        </w:rPr>
      </w:pPr>
      <w:r>
        <w:rPr>
          <w:rFonts w:hint="eastAsia" w:ascii="方正小标宋简体" w:hAnsi="方正小标宋简体" w:eastAsia="方正小标宋简体"/>
          <w:b/>
          <w:color w:val="auto"/>
          <w:kern w:val="44"/>
          <w:sz w:val="44"/>
          <w:szCs w:val="24"/>
          <w:highlight w:val="none"/>
          <w:lang w:val="zh-CN"/>
        </w:rPr>
        <w:br w:type="page"/>
      </w:r>
    </w:p>
    <w:p>
      <w:pPr>
        <w:spacing w:beforeLines="0" w:afterLines="0" w:line="580" w:lineRule="exact"/>
        <w:jc w:val="center"/>
        <w:rPr>
          <w:rFonts w:hint="eastAsia" w:ascii="黑体" w:hAnsi="黑体" w:eastAsia="黑体"/>
          <w:b/>
          <w:color w:val="auto"/>
          <w:kern w:val="2"/>
          <w:sz w:val="44"/>
          <w:szCs w:val="24"/>
          <w:highlight w:val="none"/>
          <w:lang w:val="en-US"/>
        </w:rPr>
      </w:pPr>
      <w:r>
        <w:rPr>
          <w:rFonts w:hint="eastAsia" w:ascii="方正小标宋简体" w:hAnsi="方正小标宋简体" w:eastAsia="方正小标宋简体"/>
          <w:b/>
          <w:color w:val="auto"/>
          <w:kern w:val="44"/>
          <w:sz w:val="44"/>
          <w:szCs w:val="24"/>
          <w:highlight w:val="none"/>
          <w:lang w:val="zh-CN"/>
        </w:rPr>
        <w:t>第三部分</w:t>
      </w:r>
      <w:r>
        <w:rPr>
          <w:rFonts w:hint="eastAsia" w:ascii="黑体" w:hAnsi="黑体" w:eastAsia="黑体"/>
          <w:b/>
          <w:color w:val="auto"/>
          <w:kern w:val="2"/>
          <w:sz w:val="44"/>
          <w:szCs w:val="24"/>
          <w:highlight w:val="none"/>
          <w:lang w:val="en-US"/>
        </w:rPr>
        <w:t xml:space="preserve">  </w:t>
      </w:r>
      <w:r>
        <w:rPr>
          <w:rFonts w:hint="eastAsia" w:ascii="方正小标宋简体" w:hAnsi="方正小标宋简体" w:eastAsia="方正小标宋简体"/>
          <w:b/>
          <w:color w:val="auto"/>
          <w:kern w:val="44"/>
          <w:sz w:val="44"/>
          <w:szCs w:val="24"/>
          <w:highlight w:val="none"/>
          <w:lang w:val="en-US"/>
        </w:rPr>
        <w:t>名词解释</w:t>
      </w:r>
    </w:p>
    <w:p>
      <w:pPr>
        <w:spacing w:beforeLines="0" w:afterLines="0" w:line="600" w:lineRule="exact"/>
        <w:ind w:firstLine="600"/>
        <w:jc w:val="both"/>
        <w:rPr>
          <w:rFonts w:hint="eastAsia" w:ascii="仿宋_GB2312" w:hAnsi="仿宋_GB2312" w:eastAsia="仿宋_GB2312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ind w:firstLine="600"/>
        <w:rPr>
          <w:rFonts w:hint="eastAsia" w:ascii="仿宋_GB2312" w:hAnsi="仿宋_GB2312" w:eastAsia="仿宋_GB2312"/>
          <w:color w:val="auto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sz w:val="30"/>
          <w:szCs w:val="24"/>
          <w:highlight w:val="none"/>
          <w:lang w:val="en-US"/>
        </w:rPr>
        <w:t>1.部门预算。是指主管预算部门依据相关法律、法规和政策规定及其行使职能需要，组织所属预算单位编制并逐级上报、审核、汇总，经财政部门审核后按程序依法批准的部门综合收支计划。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>
      <w:pPr>
        <w:spacing w:beforeLines="0" w:afterLines="0" w:line="580" w:lineRule="exact"/>
        <w:ind w:firstLine="600"/>
        <w:rPr>
          <w:rFonts w:hint="eastAsia" w:ascii="仿宋_GB2312" w:hAnsi="仿宋_GB2312" w:eastAsia="仿宋_GB2312"/>
          <w:color w:val="auto"/>
          <w:sz w:val="30"/>
          <w:szCs w:val="24"/>
          <w:highlight w:val="none"/>
          <w:lang w:val="en-US"/>
        </w:rPr>
      </w:pPr>
      <w:r>
        <w:rPr>
          <w:rFonts w:hint="eastAsia" w:ascii="仿宋_GB2312" w:hAnsi="仿宋_GB2312" w:eastAsia="仿宋_GB2312"/>
          <w:color w:val="auto"/>
          <w:sz w:val="30"/>
          <w:szCs w:val="24"/>
          <w:highlight w:val="none"/>
          <w:lang w:val="en-US"/>
        </w:rPr>
        <w:t>2.机关运行经费。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spacing w:beforeLines="0" w:afterLines="0" w:line="580" w:lineRule="exact"/>
        <w:ind w:firstLine="600"/>
        <w:jc w:val="both"/>
        <w:rPr>
          <w:rFonts w:hint="eastAsia" w:ascii="楷体_GB2312" w:hAnsi="楷体_GB2312" w:eastAsia="楷体_GB2312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ind w:firstLine="600"/>
        <w:jc w:val="both"/>
        <w:rPr>
          <w:rFonts w:hint="eastAsia" w:ascii="楷体_GB2312" w:hAnsi="楷体_GB2312" w:eastAsia="楷体_GB2312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ind w:firstLine="600"/>
        <w:jc w:val="both"/>
        <w:rPr>
          <w:rFonts w:hint="eastAsia" w:ascii="楷体_GB2312" w:hAnsi="楷体_GB2312" w:eastAsia="楷体_GB2312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ind w:firstLine="600"/>
        <w:jc w:val="both"/>
        <w:rPr>
          <w:rFonts w:hint="eastAsia" w:ascii="楷体_GB2312" w:hAnsi="楷体_GB2312" w:eastAsia="楷体_GB2312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ind w:firstLine="600"/>
        <w:jc w:val="both"/>
        <w:rPr>
          <w:rFonts w:hint="eastAsia" w:ascii="楷体_GB2312" w:hAnsi="楷体_GB2312" w:eastAsia="楷体_GB2312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ind w:firstLine="600"/>
        <w:jc w:val="both"/>
        <w:rPr>
          <w:rFonts w:hint="eastAsia" w:ascii="楷体_GB2312" w:hAnsi="楷体_GB2312" w:eastAsia="楷体_GB2312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jc w:val="both"/>
        <w:rPr>
          <w:rFonts w:hint="eastAsia" w:ascii="楷体_GB2312" w:hAnsi="楷体_GB2312" w:eastAsia="楷体_GB2312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ind w:firstLine="600"/>
        <w:jc w:val="both"/>
        <w:rPr>
          <w:rFonts w:hint="default" w:ascii="MS Serif" w:hAnsi="MS Serif" w:eastAsia="MS Serif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ind w:firstLine="600"/>
        <w:jc w:val="both"/>
        <w:rPr>
          <w:rFonts w:hint="default" w:ascii="MS Serif" w:hAnsi="MS Serif" w:eastAsia="MS Serif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ind w:firstLine="600"/>
        <w:jc w:val="both"/>
        <w:rPr>
          <w:rFonts w:hint="default" w:ascii="MS Serif" w:hAnsi="MS Serif" w:eastAsia="MS Serif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ind w:firstLine="600"/>
        <w:jc w:val="both"/>
        <w:rPr>
          <w:rFonts w:hint="default" w:ascii="MS Serif" w:hAnsi="MS Serif" w:eastAsia="MS Serif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ind w:firstLine="600"/>
        <w:jc w:val="both"/>
        <w:rPr>
          <w:rFonts w:hint="default" w:ascii="MS Serif" w:hAnsi="MS Serif" w:eastAsia="MS Serif"/>
          <w:color w:val="auto"/>
          <w:kern w:val="2"/>
          <w:sz w:val="30"/>
          <w:szCs w:val="24"/>
          <w:highlight w:val="none"/>
          <w:lang w:val="en-US"/>
        </w:rPr>
      </w:pPr>
    </w:p>
    <w:p>
      <w:pPr>
        <w:spacing w:beforeLines="0" w:afterLines="0" w:line="580" w:lineRule="exact"/>
        <w:ind w:firstLine="600"/>
        <w:jc w:val="both"/>
        <w:rPr>
          <w:rFonts w:hint="default" w:ascii="MS Serif" w:hAnsi="MS Serif" w:eastAsia="MS Serif"/>
          <w:color w:val="auto"/>
          <w:kern w:val="2"/>
          <w:sz w:val="30"/>
          <w:szCs w:val="24"/>
          <w:highlight w:val="none"/>
          <w:lang w:val="en-US"/>
        </w:rPr>
      </w:pPr>
    </w:p>
    <w:p>
      <w:pPr>
        <w:numPr>
          <w:ilvl w:val="0"/>
          <w:numId w:val="0"/>
        </w:numPr>
        <w:spacing w:beforeLines="0" w:afterLines="0" w:line="580" w:lineRule="exact"/>
        <w:jc w:val="center"/>
        <w:rPr>
          <w:rFonts w:hint="eastAsia" w:ascii="方正小标宋简体" w:hAnsi="方正小标宋简体" w:eastAsia="方正小标宋简体"/>
          <w:b/>
          <w:color w:val="auto"/>
          <w:kern w:val="44"/>
          <w:sz w:val="44"/>
          <w:szCs w:val="24"/>
          <w:highlight w:val="none"/>
          <w:lang w:val="en-US"/>
        </w:rPr>
      </w:pPr>
      <w:r>
        <w:rPr>
          <w:rFonts w:hint="eastAsia" w:ascii="方正小标宋简体" w:hAnsi="方正小标宋简体" w:eastAsia="方正小标宋简体"/>
          <w:b/>
          <w:color w:val="auto"/>
          <w:kern w:val="44"/>
          <w:sz w:val="44"/>
          <w:szCs w:val="24"/>
          <w:highlight w:val="none"/>
          <w:lang w:val="en-US" w:eastAsia="zh-CN"/>
        </w:rPr>
        <w:t>第四部分</w:t>
      </w:r>
      <w:r>
        <w:rPr>
          <w:rFonts w:hint="eastAsia" w:ascii="黑体" w:hAnsi="黑体" w:eastAsia="黑体"/>
          <w:b/>
          <w:color w:val="auto"/>
          <w:kern w:val="2"/>
          <w:sz w:val="44"/>
          <w:szCs w:val="24"/>
          <w:highlight w:val="none"/>
          <w:lang w:val="en-US"/>
        </w:rPr>
        <w:t xml:space="preserve"> </w:t>
      </w:r>
      <w:r>
        <w:rPr>
          <w:rFonts w:hint="eastAsia" w:ascii="方正小标宋简体" w:hAnsi="方正小标宋简体" w:eastAsia="方正小标宋简体"/>
          <w:b/>
          <w:color w:val="auto"/>
          <w:kern w:val="44"/>
          <w:sz w:val="44"/>
          <w:szCs w:val="24"/>
          <w:highlight w:val="none"/>
          <w:lang w:val="en-US"/>
        </w:rPr>
        <w:t>2024年单位预算表</w:t>
      </w:r>
    </w:p>
    <w:p>
      <w:pPr>
        <w:numPr>
          <w:ilvl w:val="0"/>
          <w:numId w:val="0"/>
        </w:numPr>
        <w:spacing w:beforeLines="0" w:afterLines="0" w:line="580" w:lineRule="exact"/>
        <w:jc w:val="both"/>
        <w:rPr>
          <w:rFonts w:hint="eastAsia" w:ascii="方正小标宋简体" w:hAnsi="方正小标宋简体" w:eastAsia="方正小标宋简体"/>
          <w:b/>
          <w:color w:val="auto"/>
          <w:kern w:val="44"/>
          <w:sz w:val="44"/>
          <w:szCs w:val="24"/>
          <w:highlight w:val="none"/>
          <w:lang w:val="en-US"/>
        </w:rPr>
      </w:pPr>
    </w:p>
    <w:p>
      <w:pPr>
        <w:spacing w:beforeLines="0" w:afterLines="0" w:line="560" w:lineRule="exact"/>
        <w:ind w:left="480"/>
        <w:jc w:val="both"/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  <w:t>一、《收支总体情况表》</w:t>
      </w:r>
    </w:p>
    <w:p>
      <w:pPr>
        <w:spacing w:beforeLines="0" w:afterLines="0" w:line="560" w:lineRule="exact"/>
        <w:ind w:left="480"/>
        <w:jc w:val="both"/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  <w:t>二、《收入总体情况表》</w:t>
      </w:r>
    </w:p>
    <w:p>
      <w:pPr>
        <w:spacing w:beforeLines="0" w:afterLines="0" w:line="560" w:lineRule="exact"/>
        <w:ind w:left="480"/>
        <w:jc w:val="both"/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  <w:t>三、《支出总体情况表》</w:t>
      </w:r>
    </w:p>
    <w:p>
      <w:pPr>
        <w:spacing w:beforeLines="0" w:afterLines="0" w:line="560" w:lineRule="exact"/>
        <w:ind w:left="480"/>
        <w:jc w:val="both"/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  <w:t>四、《财政拨款收支总体情况表》</w:t>
      </w:r>
    </w:p>
    <w:p>
      <w:pPr>
        <w:spacing w:beforeLines="0" w:afterLines="0" w:line="560" w:lineRule="exact"/>
        <w:ind w:left="480"/>
        <w:jc w:val="both"/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  <w:t>五、《一般公共预算支出情况表》</w:t>
      </w:r>
    </w:p>
    <w:p>
      <w:pPr>
        <w:spacing w:beforeLines="0" w:afterLines="0" w:line="560" w:lineRule="exact"/>
        <w:ind w:left="480"/>
        <w:jc w:val="both"/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  <w:t>六、《一般公共预算基本支出情况表》</w:t>
      </w:r>
    </w:p>
    <w:p>
      <w:pPr>
        <w:spacing w:beforeLines="0" w:afterLines="0" w:line="560" w:lineRule="exact"/>
        <w:ind w:left="480"/>
        <w:jc w:val="both"/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  <w:t>七、《一般公共预算“三公”经费支出情况表》</w:t>
      </w:r>
    </w:p>
    <w:p>
      <w:pPr>
        <w:spacing w:beforeLines="0" w:afterLines="0" w:line="560" w:lineRule="exact"/>
        <w:ind w:left="480"/>
        <w:jc w:val="both"/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  <w:t>八、《政府性基金预算支出情况表》</w:t>
      </w:r>
    </w:p>
    <w:p>
      <w:pPr>
        <w:spacing w:beforeLines="0" w:afterLines="0" w:line="560" w:lineRule="exact"/>
        <w:ind w:left="480"/>
        <w:jc w:val="both"/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  <w:t>九、《国有资本经营预算支出情况表》</w:t>
      </w:r>
    </w:p>
    <w:p>
      <w:pPr>
        <w:spacing w:beforeLines="0" w:afterLines="0" w:line="560" w:lineRule="exact"/>
        <w:ind w:left="480"/>
        <w:jc w:val="both"/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  <w:t>十、《项目支出表》</w:t>
      </w:r>
    </w:p>
    <w:p>
      <w:pPr>
        <w:spacing w:beforeLines="0" w:afterLines="0" w:line="560" w:lineRule="exact"/>
        <w:ind w:left="480"/>
        <w:jc w:val="both"/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</w:pPr>
      <w:r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  <w:t>十一、关于空表的说明</w:t>
      </w:r>
      <w:r>
        <w:rPr>
          <w:rFonts w:hint="eastAsia" w:ascii="楷体_GB2312" w:hAnsi="楷体_GB2312" w:eastAsia="楷体_GB2312"/>
          <w:b/>
          <w:color w:val="auto"/>
          <w:kern w:val="2"/>
          <w:sz w:val="30"/>
          <w:szCs w:val="24"/>
          <w:highlight w:val="none"/>
          <w:lang w:val="en-US"/>
        </w:rPr>
        <w:tab/>
      </w:r>
    </w:p>
    <w:p>
      <w:pPr>
        <w:spacing w:beforeLines="0" w:afterLines="0" w:line="560" w:lineRule="exact"/>
        <w:ind w:firstLine="600"/>
        <w:rPr>
          <w:rFonts w:hint="eastAsia" w:ascii="楷体_GB2312" w:hAnsi="楷体_GB2312" w:eastAsia="楷体_GB2312"/>
          <w:color w:val="auto"/>
          <w:sz w:val="30"/>
          <w:szCs w:val="24"/>
          <w:highlight w:val="none"/>
          <w:lang w:val="en-US"/>
        </w:rPr>
      </w:pPr>
      <w:r>
        <w:rPr>
          <w:rFonts w:hint="eastAsia" w:ascii="楷体_GB2312" w:hAnsi="楷体_GB2312" w:eastAsia="楷体_GB2312"/>
          <w:color w:val="auto"/>
          <w:sz w:val="30"/>
          <w:szCs w:val="24"/>
          <w:highlight w:val="none"/>
          <w:lang w:val="en-US" w:eastAsia="zh-CN"/>
        </w:rPr>
        <w:t>1</w:t>
      </w:r>
      <w:r>
        <w:rPr>
          <w:rFonts w:hint="eastAsia" w:ascii="楷体_GB2312" w:hAnsi="楷体_GB2312" w:eastAsia="楷体_GB2312"/>
          <w:color w:val="auto"/>
          <w:sz w:val="30"/>
          <w:szCs w:val="24"/>
          <w:highlight w:val="none"/>
          <w:lang w:val="en-US"/>
        </w:rPr>
        <w:t>.</w:t>
      </w:r>
      <w:r>
        <w:rPr>
          <w:rFonts w:hint="eastAsia" w:ascii="楷体_GB2312" w:hAnsi="楷体_GB2312" w:eastAsia="楷体_GB2312"/>
          <w:color w:val="auto"/>
          <w:sz w:val="30"/>
          <w:szCs w:val="24"/>
          <w:highlight w:val="none"/>
          <w:lang w:val="zh-CN"/>
        </w:rPr>
        <w:t>天津歌舞剧院</w:t>
      </w:r>
      <w:r>
        <w:rPr>
          <w:rFonts w:hint="default" w:ascii="Times New Roman" w:hAnsi="Times New Roman" w:eastAsia="楷体_GB2312"/>
          <w:color w:val="auto"/>
          <w:sz w:val="30"/>
          <w:szCs w:val="24"/>
          <w:highlight w:val="none"/>
          <w:lang w:val="en-US"/>
        </w:rPr>
        <w:t>2024</w:t>
      </w:r>
      <w:r>
        <w:rPr>
          <w:rFonts w:hint="eastAsia" w:ascii="楷体_GB2312" w:hAnsi="楷体_GB2312" w:eastAsia="楷体_GB2312"/>
          <w:color w:val="auto"/>
          <w:sz w:val="30"/>
          <w:szCs w:val="24"/>
          <w:highlight w:val="none"/>
          <w:lang w:val="en-US"/>
        </w:rPr>
        <w:t>年一般公共预算“三公”经费支出情况表为空表。</w:t>
      </w:r>
    </w:p>
    <w:p>
      <w:pPr>
        <w:spacing w:beforeLines="0" w:afterLines="0" w:line="560" w:lineRule="exact"/>
        <w:ind w:firstLine="600"/>
        <w:rPr>
          <w:rFonts w:hint="eastAsia" w:ascii="楷体_GB2312" w:hAnsi="楷体_GB2312" w:eastAsia="楷体_GB2312"/>
          <w:color w:val="auto"/>
          <w:sz w:val="30"/>
          <w:szCs w:val="24"/>
          <w:highlight w:val="none"/>
          <w:lang w:val="en-US"/>
        </w:rPr>
      </w:pPr>
      <w:r>
        <w:rPr>
          <w:rFonts w:hint="eastAsia" w:ascii="楷体_GB2312" w:hAnsi="楷体_GB2312" w:eastAsia="楷体_GB2312"/>
          <w:color w:val="auto"/>
          <w:sz w:val="30"/>
          <w:szCs w:val="24"/>
          <w:highlight w:val="none"/>
          <w:lang w:val="en-US" w:eastAsia="zh-CN"/>
        </w:rPr>
        <w:t>2</w:t>
      </w:r>
      <w:r>
        <w:rPr>
          <w:rFonts w:hint="eastAsia" w:ascii="楷体_GB2312" w:hAnsi="楷体_GB2312" w:eastAsia="楷体_GB2312"/>
          <w:color w:val="auto"/>
          <w:sz w:val="30"/>
          <w:szCs w:val="24"/>
          <w:highlight w:val="none"/>
          <w:lang w:val="en-US"/>
        </w:rPr>
        <w:t>.</w:t>
      </w:r>
      <w:r>
        <w:rPr>
          <w:rFonts w:hint="eastAsia" w:ascii="楷体_GB2312" w:hAnsi="楷体_GB2312" w:eastAsia="楷体_GB2312"/>
          <w:color w:val="auto"/>
          <w:sz w:val="30"/>
          <w:szCs w:val="24"/>
          <w:highlight w:val="none"/>
          <w:lang w:val="zh-CN"/>
        </w:rPr>
        <w:t>天津歌舞剧院</w:t>
      </w:r>
      <w:r>
        <w:rPr>
          <w:rFonts w:hint="default" w:ascii="Times New Roman" w:hAnsi="Times New Roman" w:eastAsia="楷体_GB2312"/>
          <w:color w:val="auto"/>
          <w:sz w:val="30"/>
          <w:szCs w:val="24"/>
          <w:highlight w:val="none"/>
          <w:lang w:val="en-US"/>
        </w:rPr>
        <w:t>2024</w:t>
      </w:r>
      <w:r>
        <w:rPr>
          <w:rFonts w:hint="eastAsia" w:ascii="楷体_GB2312" w:hAnsi="楷体_GB2312" w:eastAsia="楷体_GB2312"/>
          <w:color w:val="auto"/>
          <w:sz w:val="30"/>
          <w:szCs w:val="24"/>
          <w:highlight w:val="none"/>
          <w:lang w:val="en-US"/>
        </w:rPr>
        <w:t>年政府性基金预算支出情况表为空表。</w:t>
      </w:r>
    </w:p>
    <w:p>
      <w:pPr>
        <w:spacing w:beforeLines="0" w:afterLines="0" w:line="560" w:lineRule="exact"/>
        <w:ind w:firstLine="600"/>
        <w:rPr>
          <w:rFonts w:hint="eastAsia" w:ascii="楷体_GB2312" w:hAnsi="楷体_GB2312" w:eastAsia="楷体_GB2312"/>
          <w:color w:val="auto"/>
          <w:sz w:val="30"/>
          <w:szCs w:val="24"/>
          <w:highlight w:val="none"/>
          <w:lang w:val="zh-CN"/>
        </w:rPr>
      </w:pPr>
      <w:r>
        <w:rPr>
          <w:rFonts w:hint="eastAsia" w:ascii="楷体_GB2312" w:hAnsi="楷体_GB2312" w:eastAsia="楷体_GB2312"/>
          <w:color w:val="auto"/>
          <w:sz w:val="30"/>
          <w:szCs w:val="24"/>
          <w:highlight w:val="none"/>
          <w:lang w:val="en-US" w:eastAsia="zh-CN"/>
        </w:rPr>
        <w:t>3</w:t>
      </w:r>
      <w:r>
        <w:rPr>
          <w:rFonts w:hint="eastAsia" w:ascii="楷体_GB2312" w:hAnsi="楷体_GB2312" w:eastAsia="楷体_GB2312"/>
          <w:color w:val="auto"/>
          <w:sz w:val="30"/>
          <w:szCs w:val="24"/>
          <w:highlight w:val="none"/>
          <w:lang w:val="en-US"/>
        </w:rPr>
        <w:t>.</w:t>
      </w:r>
      <w:r>
        <w:rPr>
          <w:rFonts w:hint="eastAsia" w:ascii="楷体_GB2312" w:hAnsi="楷体_GB2312" w:eastAsia="楷体_GB2312"/>
          <w:color w:val="auto"/>
          <w:sz w:val="30"/>
          <w:szCs w:val="24"/>
          <w:highlight w:val="none"/>
          <w:lang w:val="zh-CN"/>
        </w:rPr>
        <w:t>天津歌舞剧院</w:t>
      </w:r>
      <w:r>
        <w:rPr>
          <w:rFonts w:hint="default" w:ascii="Times New Roman" w:hAnsi="Times New Roman" w:eastAsia="楷体_GB2312"/>
          <w:color w:val="auto"/>
          <w:sz w:val="30"/>
          <w:szCs w:val="24"/>
          <w:highlight w:val="none"/>
          <w:lang w:val="en-US"/>
        </w:rPr>
        <w:t>2024</w:t>
      </w:r>
      <w:r>
        <w:rPr>
          <w:rFonts w:hint="eastAsia" w:ascii="楷体_GB2312" w:hAnsi="楷体_GB2312" w:eastAsia="楷体_GB2312"/>
          <w:color w:val="auto"/>
          <w:sz w:val="30"/>
          <w:szCs w:val="24"/>
          <w:highlight w:val="none"/>
          <w:lang w:val="en-US"/>
        </w:rPr>
        <w:t>年国有资本经营预算支出情况表为空表。</w:t>
      </w:r>
    </w:p>
    <w:sectPr>
      <w:footerReference r:id="rId5" w:type="default"/>
      <w:pgSz w:w="12240" w:h="15840"/>
      <w:pgMar w:top="1440" w:right="1800" w:bottom="1440" w:left="1800" w:header="720" w:footer="720" w:gutter="0"/>
      <w:lnNumType w:countBy="0" w:distance="36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Serif">
    <w:altName w:val="DejaVu Math TeX Gyre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Lines="0" w:afterLines="0"/>
      <w:rPr>
        <w:rFonts w:hint="default"/>
        <w:sz w:val="18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Lines="0" w:afterLines="0"/>
      <w:rPr>
        <w:rFonts w:hint="default"/>
        <w:sz w:val="18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Lines="0" w:afterLines="0"/>
      <w:rPr>
        <w:rFonts w:hint="default"/>
        <w:sz w:val="18"/>
        <w:szCs w:val="24"/>
      </w:rPr>
    </w:pPr>
    <w:r>
      <w:rPr>
        <w:rFonts w:hint="default"/>
        <w:sz w:val="18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鏂囨湰妗?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spacing w:beforeLines="0" w:afterLines="0"/>
                            <w:rPr>
                              <w:rFonts w:hint="default"/>
                              <w:sz w:val="18"/>
                              <w:szCs w:val="24"/>
                            </w:rPr>
                          </w:pPr>
                          <w:r>
                            <w:rPr>
                              <w:rFonts w:hint="default"/>
                              <w:sz w:val="18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/>
                              <w:sz w:val="18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/>
                              <w:sz w:val="18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  <w:sz w:val="18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/>
                              <w:sz w:val="18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鏂囨湰妗?4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DOqXm5zwAAAAUBAAAPAAAAAAAAAAEAIAAAADgAAABkcnMvZG93&#10;bnJldi54bWxQSwECFAAUAAAACACHTuJAX6GAUboBAABUAwAADgAAAAAAAAABACAAAAA0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spacing w:beforeLines="0" w:afterLines="0"/>
                      <w:rPr>
                        <w:rFonts w:hint="default"/>
                        <w:sz w:val="18"/>
                        <w:szCs w:val="24"/>
                      </w:rPr>
                    </w:pPr>
                    <w:r>
                      <w:rPr>
                        <w:rFonts w:hint="default"/>
                        <w:sz w:val="18"/>
                        <w:szCs w:val="24"/>
                      </w:rPr>
                      <w:fldChar w:fldCharType="begin"/>
                    </w:r>
                    <w:r>
                      <w:rPr>
                        <w:rFonts w:hint="default"/>
                        <w:sz w:val="18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/>
                        <w:sz w:val="18"/>
                        <w:szCs w:val="24"/>
                      </w:rPr>
                      <w:fldChar w:fldCharType="separate"/>
                    </w:r>
                    <w:r>
                      <w:rPr>
                        <w:rFonts w:hint="default"/>
                        <w:sz w:val="18"/>
                        <w:szCs w:val="24"/>
                      </w:rPr>
                      <w:t>1</w:t>
                    </w:r>
                    <w:r>
                      <w:rPr>
                        <w:rFonts w:hint="default"/>
                        <w:sz w:val="18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true"/>
  <w:drawingGridHorizontalOrigin w:val="1701"/>
  <w:drawingGridVerticalOrigin w:val="1984"/>
  <w:doNotShadeFormData w:val="true"/>
  <w:characterSpacingControl w:val="compressPunctuation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hZDMxOWIyOWJhMjU3YjgwY2UzZDgxN2EzYWIxOGQifQ=="/>
  </w:docVars>
  <w:rsids>
    <w:rsidRoot w:val="00172A27"/>
    <w:rsid w:val="29063E52"/>
    <w:rsid w:val="2FDFAB38"/>
    <w:rsid w:val="32BD3987"/>
    <w:rsid w:val="3FCD58CA"/>
    <w:rsid w:val="4BE6CBEB"/>
    <w:rsid w:val="5DF91983"/>
    <w:rsid w:val="5FF740F9"/>
    <w:rsid w:val="72D06026"/>
    <w:rsid w:val="72E7D352"/>
    <w:rsid w:val="73FF2FB1"/>
    <w:rsid w:val="7BEBDCF4"/>
    <w:rsid w:val="99FFC9E1"/>
    <w:rsid w:val="9F98EAF3"/>
    <w:rsid w:val="9FBF8376"/>
    <w:rsid w:val="BB5B7FD3"/>
    <w:rsid w:val="BD3EF284"/>
    <w:rsid w:val="BDEF23FB"/>
    <w:rsid w:val="BEBACC83"/>
    <w:rsid w:val="BEF3170C"/>
    <w:rsid w:val="BFFCBF21"/>
    <w:rsid w:val="DF9F123E"/>
    <w:rsid w:val="EDBF3CD1"/>
    <w:rsid w:val="EECF35D3"/>
    <w:rsid w:val="F7DC37F6"/>
    <w:rsid w:val="FB3D94F8"/>
    <w:rsid w:val="FDFF3F17"/>
    <w:rsid w:val="FF56B24F"/>
    <w:rsid w:val="FF7FDA29"/>
    <w:rsid w:val="FFDB20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iPriority="99" w:semiHidden="0" w:name="heading 1"/>
    <w:lsdException w:qFormat="1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99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Times New Roman" w:hAnsi="Times New Roman" w:eastAsia="宋体" w:cs="Times New Roman"/>
      <w:sz w:val="24"/>
      <w:szCs w:val="24"/>
    </w:rPr>
  </w:style>
  <w:style w:type="paragraph" w:styleId="2">
    <w:name w:val="heading 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Times New Roman" w:hAnsi="Times New Roman" w:eastAsia="宋体" w:cs="Times New Roman"/>
      <w:sz w:val="24"/>
      <w:szCs w:val="24"/>
    </w:rPr>
  </w:style>
  <w:style w:type="paragraph" w:styleId="3">
    <w:name w:val="heading 2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Times New Roman" w:hAnsi="Times New Roman" w:eastAsia="宋体" w:cs="Times New Roman"/>
      <w:sz w:val="24"/>
      <w:szCs w:val="24"/>
    </w:rPr>
  </w:style>
  <w:style w:type="character" w:default="1" w:styleId="7">
    <w:name w:val="Default Paragraph Font"/>
    <w:unhideWhenUsed/>
    <w:qFormat/>
    <w:uiPriority w:val="99"/>
    <w:rPr>
      <w:rFonts w:hint="default"/>
      <w:sz w:val="24"/>
      <w:szCs w:val="24"/>
    </w:rPr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beforeLines="0" w:afterLines="0"/>
    </w:pPr>
    <w:rPr>
      <w:rFonts w:hint="default"/>
      <w:sz w:val="18"/>
      <w:szCs w:val="24"/>
    </w:rPr>
  </w:style>
  <w:style w:type="paragraph" w:styleId="5">
    <w:name w:val="head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beforeLines="0" w:afterLines="0"/>
      <w:jc w:val="both"/>
    </w:pPr>
    <w:rPr>
      <w:rFonts w:hint="default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Office_11.8.2.10229_F1E327BC-269C-435d-A152-05C5408002CA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2024-03-05T14:34:00Z</dcterms:created>
  <dc:creator>dell</dc:creator>
  <cp:lastModifiedBy>kylin</cp:lastModifiedBy>
  <dcterms:modified xsi:type="dcterms:W3CDTF">2024-03-06T17:45:06Z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0DCA5B7AC3384FC296E2BC8C99F11D31_12</vt:lpwstr>
  </property>
</Properties>
</file>