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val="0"/>
        <w:overflowPunct/>
        <w:topLinePunct w:val="0"/>
        <w:autoSpaceDE/>
        <w:autoSpaceDN/>
        <w:bidi w:val="0"/>
        <w:adjustRightInd/>
        <w:snapToGrid w:val="0"/>
        <w:spacing w:line="560" w:lineRule="exact"/>
        <w:ind w:right="630" w:rightChars="3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附件2：</w:t>
      </w:r>
    </w:p>
    <w:p>
      <w:pPr>
        <w:pStyle w:val="3"/>
        <w:keepNext w:val="0"/>
        <w:keepLines w:val="0"/>
        <w:pageBreakBefore w:val="0"/>
        <w:widowControl w:val="0"/>
        <w:kinsoku/>
        <w:wordWrap w:val="0"/>
        <w:overflowPunct/>
        <w:topLinePunct w:val="0"/>
        <w:autoSpaceDE/>
        <w:autoSpaceDN/>
        <w:bidi w:val="0"/>
        <w:adjustRightInd/>
        <w:snapToGrid w:val="0"/>
        <w:spacing w:line="560" w:lineRule="exact"/>
        <w:ind w:right="630" w:rightChars="300"/>
        <w:jc w:val="both"/>
        <w:textAlignment w:val="auto"/>
        <w:rPr>
          <w:rFonts w:hint="eastAsia" w:ascii="方正黑体_GBK" w:hAnsi="方正黑体_GBK" w:eastAsia="方正黑体_GBK" w:cs="方正黑体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sz w:val="44"/>
          <w:szCs w:val="44"/>
        </w:rPr>
      </w:pPr>
      <w:bookmarkStart w:id="0" w:name="_GoBack"/>
      <w:r>
        <w:rPr>
          <w:rFonts w:hint="eastAsia" w:ascii="方正小标宋_GBK" w:hAnsi="方正小标宋_GBK" w:eastAsia="方正小标宋_GBK" w:cs="方正小标宋_GBK"/>
          <w:b w:val="0"/>
          <w:bCs/>
          <w:sz w:val="44"/>
          <w:szCs w:val="44"/>
          <w:lang w:val="en-US" w:eastAsia="zh-CN"/>
        </w:rPr>
        <w:t>2023年度</w:t>
      </w:r>
      <w:r>
        <w:rPr>
          <w:rFonts w:hint="eastAsia" w:ascii="方正小标宋_GBK" w:hAnsi="方正小标宋_GBK" w:eastAsia="方正小标宋_GBK" w:cs="方正小标宋_GBK"/>
          <w:b w:val="0"/>
          <w:bCs/>
          <w:sz w:val="44"/>
          <w:szCs w:val="44"/>
        </w:rPr>
        <w:t>天津市文博创意产品设计大赛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获奖名单</w:t>
      </w:r>
      <w:r>
        <w:rPr>
          <w:rFonts w:hint="eastAsia" w:ascii="方正小标宋_GBK" w:hAnsi="方正小标宋_GBK" w:eastAsia="方正小标宋_GBK" w:cs="方正小标宋_GBK"/>
          <w:b w:val="0"/>
          <w:bCs/>
          <w:sz w:val="44"/>
          <w:szCs w:val="44"/>
        </w:rPr>
        <w:t>（</w:t>
      </w:r>
      <w:r>
        <w:rPr>
          <w:rFonts w:hint="eastAsia" w:ascii="方正小标宋_GBK" w:hAnsi="方正小标宋_GBK" w:eastAsia="方正小标宋_GBK" w:cs="方正小标宋_GBK"/>
          <w:b w:val="0"/>
          <w:bCs/>
          <w:sz w:val="44"/>
          <w:szCs w:val="44"/>
          <w:lang w:eastAsia="zh-CN"/>
        </w:rPr>
        <w:t>学生</w:t>
      </w:r>
      <w:r>
        <w:rPr>
          <w:rFonts w:hint="eastAsia" w:ascii="方正小标宋_GBK" w:hAnsi="方正小标宋_GBK" w:eastAsia="方正小标宋_GBK" w:cs="方正小标宋_GBK"/>
          <w:b w:val="0"/>
          <w:bCs/>
          <w:sz w:val="44"/>
          <w:szCs w:val="44"/>
        </w:rPr>
        <w:t>组）</w:t>
      </w:r>
      <w:bookmarkEnd w:id="0"/>
      <w:r>
        <w:rPr>
          <w:rFonts w:hint="eastAsia" w:ascii="方正小标宋_GBK" w:hAnsi="方正小标宋_GBK" w:eastAsia="方正小标宋_GBK" w:cs="方正小标宋_GBK"/>
          <w:b w:val="0"/>
          <w:bCs/>
          <w:sz w:val="44"/>
          <w:szCs w:val="44"/>
        </w:rPr>
        <w:t xml:space="preserve"> </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125"/>
        <w:gridCol w:w="1287"/>
        <w:gridCol w:w="2988"/>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blHeader/>
          <w:jc w:val="center"/>
        </w:trPr>
        <w:tc>
          <w:tcPr>
            <w:tcW w:w="129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奖项</w:t>
            </w:r>
          </w:p>
        </w:tc>
        <w:tc>
          <w:tcPr>
            <w:tcW w:w="212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所在院校</w:t>
            </w:r>
          </w:p>
        </w:tc>
        <w:tc>
          <w:tcPr>
            <w:tcW w:w="128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作者</w:t>
            </w:r>
          </w:p>
        </w:tc>
        <w:tc>
          <w:tcPr>
            <w:tcW w:w="2988"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作品名称</w:t>
            </w:r>
          </w:p>
        </w:tc>
        <w:tc>
          <w:tcPr>
            <w:tcW w:w="1366"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2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一等奖</w:t>
            </w:r>
          </w:p>
        </w:tc>
        <w:tc>
          <w:tcPr>
            <w:tcW w:w="2125"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天津职业技术师范大学</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  言</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  皓</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陈俊延</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王一涵</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  懿</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基于天津博物馆藏品隋白釉龙柄联腹传瓶与天津酒文化相结合的开瓶器设计</w:t>
            </w:r>
          </w:p>
        </w:tc>
        <w:tc>
          <w:tcPr>
            <w:tcW w:w="136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周致欣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二等奖</w:t>
            </w:r>
          </w:p>
        </w:tc>
        <w:tc>
          <w:tcPr>
            <w:tcW w:w="2125"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天津工业大学</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夏鸣遥</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玺印</w:t>
            </w:r>
          </w:p>
        </w:tc>
        <w:tc>
          <w:tcPr>
            <w:tcW w:w="136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Hans"/>
              </w:rPr>
              <w:t>高</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Hans"/>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天津公安警官职业学院</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邰鹏玮</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忆古凝心</w:t>
            </w:r>
          </w:p>
        </w:tc>
        <w:tc>
          <w:tcPr>
            <w:tcW w:w="1366" w:type="dxa"/>
            <w:vAlign w:val="center"/>
          </w:tcPr>
          <w:p>
            <w:pPr>
              <w:jc w:val="center"/>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李佳坤</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李铭洋</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神兽玉佩棒棒糖、“玉”见神兽创意巧克力</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钟</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9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三等奖</w:t>
            </w:r>
          </w:p>
        </w:tc>
        <w:tc>
          <w:tcPr>
            <w:tcW w:w="2125"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广州商学院</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梁樱姿</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猪龙婴儿牙胶</w:t>
            </w:r>
          </w:p>
        </w:tc>
        <w:tc>
          <w:tcPr>
            <w:tcW w:w="136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管静文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广东石油化工学院</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侯佩杰</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  攀</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瑞兽翱翔——以天津博物馆文物为造型的装订</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文具套餐</w:t>
            </w:r>
          </w:p>
        </w:tc>
        <w:tc>
          <w:tcPr>
            <w:tcW w:w="136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吕秋琼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天津国土资源和房屋职业</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学院</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杨思懿</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枫叶一片，寄上思念</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金秋平</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秦婉莹</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孙见遥</w:t>
            </w:r>
          </w:p>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张佳睿</w:t>
            </w:r>
          </w:p>
        </w:tc>
        <w:tc>
          <w:tcPr>
            <w:tcW w:w="2988"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“秋山玉龙”——大漆香薰设计</w:t>
            </w:r>
          </w:p>
        </w:tc>
        <w:tc>
          <w:tcPr>
            <w:tcW w:w="1366"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唐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姚思琪</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杨晶晶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  璐</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郑皓楠</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张一骁</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  月</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龚丹丹</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《鹰遥---系列首饰设计》、龙山印象</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杨力智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唐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294" w:type="dxa"/>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优秀奖</w:t>
            </w: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天津城建大学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黄若一</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杨玉磊</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张文静</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君子佩玦，静待佳时——青玉龙型钟表系列</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綦晓倩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天津商业大学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郭柳妮</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“福禄寿”字纹瓦当文创设计</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孙兴昌</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 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天津传媒学院</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宫稼琪</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《春秋黄玉兽》</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魏晨晨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李似男</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花有约•茶不误</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 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广东石油化工学院</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郭佳璇</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赵凤来</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玉猪龙小夜灯</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吕秋琼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天津工艺美术职业学院</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黄金鹏</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品味津标</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 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 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梁琼予</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金印丹漆-官印衍生大漆办公用具</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钟 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张毅博</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  悦</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赵若琳</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基于榫卯结构的福船拼接玩具设计</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段博闻</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莫伊菲</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王可心</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  琪</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张雅茹</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龙纹融烛灯</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唐 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vMerge w:val="continue"/>
            <w:vAlign w:val="center"/>
          </w:tcPr>
          <w:p>
            <w:pPr>
              <w:jc w:val="center"/>
              <w:rPr>
                <w:rFonts w:hint="eastAsia" w:ascii="仿宋_GB2312" w:hAnsi="仿宋_GB2312" w:eastAsia="仿宋_GB2312" w:cs="仿宋_GB2312"/>
                <w:sz w:val="24"/>
                <w:szCs w:val="24"/>
              </w:rPr>
            </w:pPr>
          </w:p>
        </w:tc>
        <w:tc>
          <w:tcPr>
            <w:tcW w:w="21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天津理工大学</w:t>
            </w:r>
          </w:p>
        </w:tc>
        <w:tc>
          <w:tcPr>
            <w:tcW w:w="128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  翌</w:t>
            </w:r>
          </w:p>
        </w:tc>
        <w:tc>
          <w:tcPr>
            <w:tcW w:w="29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“红山神韵”巧克力遗珍</w:t>
            </w:r>
          </w:p>
        </w:tc>
        <w:tc>
          <w:tcPr>
            <w:tcW w:w="136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 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MjI2YjgwYTU4ZDQ3ZWYzYzVmZjAzMTMwYjNlZDUifQ=="/>
  </w:docVars>
  <w:rsids>
    <w:rsidRoot w:val="73CC0657"/>
    <w:rsid w:val="46317EB5"/>
    <w:rsid w:val="73CC0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widowControl/>
      <w:spacing w:before="100" w:beforeAutospacing="1" w:after="100" w:afterAutospacing="1"/>
      <w:jc w:val="left"/>
      <w:outlineLvl w:val="1"/>
    </w:pPr>
    <w:rPr>
      <w:rFonts w:hint="eastAsia" w:ascii="宋体" w:hAnsi="宋体"/>
      <w:b/>
      <w:kern w:val="0"/>
      <w:sz w:val="36"/>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2024-05-16T07:32:00Z</dcterms:created>
  <dc:creator>我要成仙</dc:creator>
  <cp:lastModifiedBy>我要成仙</cp:lastModifiedBy>
  <dcterms:modified xsi:type="dcterms:W3CDTF">2024-05-16T07:42:04Z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37DA7CE60C5045AC88FFAA7AAD24AB79_13</vt:lpwstr>
  </property>
</Properties>
</file>