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730F4">
      <w:pPr>
        <w:pStyle w:val="4"/>
        <w:snapToGrid w:val="0"/>
        <w:spacing w:after="0"/>
        <w:jc w:val="center"/>
        <w:rPr>
          <w:rFonts w:ascii="Times New Roman" w:hAnsi="Times New Roman" w:eastAsia="方正小标宋简体" w:cs="Times New Roman"/>
          <w:sz w:val="44"/>
          <w:szCs w:val="44"/>
        </w:rPr>
      </w:pPr>
      <w:bookmarkStart w:id="0" w:name="_Hlk217656088"/>
      <w:r>
        <w:rPr>
          <w:rFonts w:hint="eastAsia" w:ascii="Times New Roman" w:hAnsi="Times New Roman" w:eastAsia="方正小标宋简体" w:cs="Times New Roman"/>
          <w:sz w:val="44"/>
          <w:szCs w:val="44"/>
        </w:rPr>
        <w:t>天津市长城保护条例</w:t>
      </w:r>
    </w:p>
    <w:bookmarkEnd w:id="0"/>
    <w:p w14:paraId="3B4CF3CB">
      <w:pPr>
        <w:pStyle w:val="4"/>
        <w:snapToGrid w:val="0"/>
        <w:spacing w:after="0"/>
        <w:jc w:val="center"/>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（草案</w:t>
      </w:r>
      <w:r>
        <w:rPr>
          <w:rFonts w:hint="eastAsia" w:ascii="楷体_GB2312" w:hAnsi="楷体_GB2312" w:eastAsia="楷体_GB2312" w:cs="楷体_GB2312"/>
          <w:b w:val="0"/>
          <w:bCs w:val="0"/>
          <w:sz w:val="32"/>
          <w:szCs w:val="32"/>
          <w:lang w:val="en-US" w:eastAsia="zh-CN"/>
        </w:rPr>
        <w:t>征求意见稿</w:t>
      </w:r>
      <w:r>
        <w:rPr>
          <w:rFonts w:hint="eastAsia" w:ascii="楷体_GB2312" w:hAnsi="楷体_GB2312" w:eastAsia="楷体_GB2312" w:cs="楷体_GB2312"/>
          <w:b w:val="0"/>
          <w:bCs w:val="0"/>
          <w:sz w:val="32"/>
          <w:szCs w:val="32"/>
        </w:rPr>
        <w:t>）</w:t>
      </w:r>
    </w:p>
    <w:p w14:paraId="582C08C6">
      <w:pPr>
        <w:pStyle w:val="4"/>
        <w:snapToGrid w:val="0"/>
        <w:spacing w:after="0"/>
        <w:jc w:val="center"/>
        <w:rPr>
          <w:rFonts w:hint="eastAsia" w:ascii="仿宋_GB2312" w:hAnsi="仿宋_GB2312" w:eastAsia="仿宋_GB2312" w:cs="仿宋_GB2312"/>
          <w:sz w:val="32"/>
          <w:szCs w:val="32"/>
        </w:rPr>
      </w:pPr>
    </w:p>
    <w:p w14:paraId="18F209B7">
      <w:pPr>
        <w:numPr>
          <w:ilvl w:val="0"/>
          <w:numId w:val="2"/>
        </w:numPr>
        <w:spacing w:before="156" w:beforeLines="50" w:line="560" w:lineRule="exact"/>
        <w:ind w:firstLine="640" w:firstLineChars="200"/>
        <w:outlineLvl w:val="1"/>
        <w:rPr>
          <w:rFonts w:ascii="Times New Roman" w:hAnsi="Times New Roman" w:eastAsia="黑体" w:cs="黑体"/>
        </w:rPr>
      </w:pPr>
      <w:bookmarkStart w:id="1" w:name="_Hlk217034344"/>
      <w:r>
        <w:rPr>
          <w:rFonts w:hint="eastAsia" w:ascii="Times New Roman" w:hAnsi="Times New Roman" w:eastAsia="黑体" w:cs="黑体"/>
          <w:sz w:val="32"/>
          <w:szCs w:val="32"/>
        </w:rPr>
        <w:t>【目的依据】</w:t>
      </w:r>
      <w:bookmarkEnd w:id="1"/>
      <w:r>
        <w:rPr>
          <w:rFonts w:hint="eastAsia" w:ascii="仿宋_GB2312" w:hAnsi="仿宋_GB2312" w:eastAsia="仿宋_GB2312" w:cs="仿宋_GB2312"/>
          <w:sz w:val="32"/>
          <w:szCs w:val="32"/>
        </w:rPr>
        <w:t>为了加强长城保护，规范长城利</w:t>
      </w:r>
      <w:bookmarkStart w:id="26" w:name="_GoBack"/>
      <w:bookmarkEnd w:id="26"/>
      <w:r>
        <w:rPr>
          <w:rFonts w:hint="eastAsia" w:ascii="仿宋_GB2312" w:hAnsi="仿宋_GB2312" w:eastAsia="仿宋_GB2312" w:cs="仿宋_GB2312"/>
          <w:sz w:val="32"/>
          <w:szCs w:val="32"/>
        </w:rPr>
        <w:t>用，弘扬长城精神，传承长城文化，根据《中华人民共和国文物保护法》、《长城保护条例》等有关法律、行政法规，结合本市实际，制定本条例。</w:t>
      </w:r>
    </w:p>
    <w:p w14:paraId="4D68BF98">
      <w:pPr>
        <w:numPr>
          <w:ilvl w:val="0"/>
          <w:numId w:val="2"/>
        </w:numPr>
        <w:spacing w:before="156" w:beforeLines="50" w:line="560" w:lineRule="exact"/>
        <w:ind w:firstLine="640" w:firstLineChars="200"/>
        <w:outlineLvl w:val="1"/>
        <w:rPr>
          <w:rFonts w:ascii="Times New Roman" w:hAnsi="Times New Roman" w:eastAsia="黑体" w:cs="黑体"/>
          <w:sz w:val="32"/>
          <w:szCs w:val="32"/>
        </w:rPr>
      </w:pPr>
      <w:bookmarkStart w:id="2" w:name="_Hlk217034353"/>
      <w:r>
        <w:rPr>
          <w:rFonts w:hint="eastAsia" w:ascii="Times New Roman" w:hAnsi="Times New Roman" w:eastAsia="黑体" w:cs="黑体"/>
          <w:sz w:val="32"/>
          <w:szCs w:val="32"/>
        </w:rPr>
        <w:t>【适用范围】</w:t>
      </w:r>
      <w:bookmarkEnd w:id="2"/>
      <w:r>
        <w:rPr>
          <w:rFonts w:hint="eastAsia" w:ascii="仿宋_GB2312" w:hAnsi="仿宋_GB2312" w:eastAsia="仿宋_GB2312" w:cs="仿宋_GB2312"/>
          <w:sz w:val="32"/>
          <w:szCs w:val="32"/>
        </w:rPr>
        <w:t>本市行政区域内长城的保护、利用、监督管理活动，适用本条例。</w:t>
      </w:r>
    </w:p>
    <w:p w14:paraId="23EA5AF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本条例所称长城，是指由国务院文物主管部门认定并公布的具有长城认定编码的长城点段，包括长城墙体、敌台等长城本体，烽火台、关城、寨堡等附属设施，以及相关遗存。</w:t>
      </w:r>
    </w:p>
    <w:p w14:paraId="11407F49">
      <w:pPr>
        <w:numPr>
          <w:ilvl w:val="0"/>
          <w:numId w:val="2"/>
        </w:numPr>
        <w:spacing w:before="156" w:beforeLines="50" w:line="560" w:lineRule="exact"/>
        <w:ind w:firstLine="640" w:firstLineChars="200"/>
        <w:outlineLvl w:val="1"/>
        <w:rPr>
          <w:rFonts w:ascii="Times New Roman" w:hAnsi="Times New Roman" w:eastAsia="黑体" w:cs="黑体"/>
          <w:sz w:val="32"/>
          <w:szCs w:val="32"/>
        </w:rPr>
      </w:pPr>
      <w:bookmarkStart w:id="3" w:name="_Hlk217034367"/>
      <w:r>
        <w:rPr>
          <w:rFonts w:hint="eastAsia" w:ascii="Times New Roman" w:hAnsi="Times New Roman" w:eastAsia="黑体" w:cs="黑体"/>
          <w:sz w:val="32"/>
          <w:szCs w:val="32"/>
        </w:rPr>
        <w:t>【工作原则】</w:t>
      </w:r>
      <w:bookmarkEnd w:id="3"/>
      <w:r>
        <w:rPr>
          <w:rFonts w:hint="eastAsia" w:ascii="仿宋_GB2312" w:hAnsi="仿宋_GB2312" w:eastAsia="仿宋_GB2312" w:cs="仿宋_GB2312"/>
          <w:sz w:val="32"/>
          <w:szCs w:val="32"/>
        </w:rPr>
        <w:t>长城保护坚持中国共产党的领导，坚持以社会主义核心价值观为引领，贯彻保护为主、抢救第一、合理利用、加强管理的方针，遵循科学规划、原状保护的原则，保护长城的历史真实性、风貌完整性和文化延续性。</w:t>
      </w:r>
    </w:p>
    <w:p w14:paraId="15CDCA9F">
      <w:pPr>
        <w:numPr>
          <w:ilvl w:val="0"/>
          <w:numId w:val="2"/>
        </w:numPr>
        <w:spacing w:before="156" w:beforeLines="50" w:line="560" w:lineRule="exact"/>
        <w:ind w:firstLine="640" w:firstLineChars="200"/>
        <w:outlineLvl w:val="1"/>
        <w:rPr>
          <w:rFonts w:ascii="Times New Roman" w:hAnsi="Times New Roman" w:eastAsia="黑体" w:cs="黑体"/>
          <w:sz w:val="32"/>
          <w:szCs w:val="32"/>
        </w:rPr>
      </w:pPr>
      <w:bookmarkStart w:id="4" w:name="_Hlk217034379"/>
      <w:r>
        <w:rPr>
          <w:rFonts w:hint="eastAsia" w:ascii="Times New Roman" w:hAnsi="Times New Roman" w:eastAsia="黑体" w:cs="黑体"/>
          <w:sz w:val="32"/>
          <w:szCs w:val="32"/>
        </w:rPr>
        <w:t>【政府职责】</w:t>
      </w:r>
      <w:bookmarkEnd w:id="4"/>
      <w:r>
        <w:rPr>
          <w:rFonts w:hint="eastAsia" w:ascii="仿宋_GB2312" w:hAnsi="仿宋_GB2312" w:eastAsia="仿宋_GB2312" w:cs="仿宋_GB2312"/>
          <w:sz w:val="32"/>
          <w:szCs w:val="32"/>
        </w:rPr>
        <w:t>市人民政府应当加强对长城保护工作的领导，将长城保护工作纳入国民经济和社会发展规划，将长城保护经费纳入本级预算，建立健全工作协调联动机制，统筹解决重大问题。</w:t>
      </w:r>
    </w:p>
    <w:p w14:paraId="346FDDCF">
      <w:pPr>
        <w:pStyle w:val="4"/>
        <w:spacing w:after="0" w:line="560" w:lineRule="exact"/>
        <w:ind w:firstLine="640" w:firstLineChars="200"/>
        <w:rPr>
          <w:sz w:val="24"/>
          <w:szCs w:val="24"/>
        </w:rPr>
      </w:pPr>
      <w:r>
        <w:rPr>
          <w:rFonts w:hint="eastAsia" w:ascii="仿宋_GB2312" w:hAnsi="仿宋_GB2312" w:eastAsia="仿宋_GB2312" w:cs="仿宋_GB2312"/>
          <w:sz w:val="32"/>
          <w:szCs w:val="32"/>
        </w:rPr>
        <w:t>蓟州区人民政府负责本行政区域内的长城保护工作，将长城保护工作纳入国民经济和社会发展规划，将长城保护经费纳入本级预算。其他区人民政府做好长城保护相关工作。</w:t>
      </w:r>
    </w:p>
    <w:p w14:paraId="33B12422">
      <w:pPr>
        <w:pStyle w:val="4"/>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长城所在地镇人民政府应当做好本辖区内长城保护工作。</w:t>
      </w:r>
    </w:p>
    <w:p w14:paraId="36229216">
      <w:pPr>
        <w:numPr>
          <w:ilvl w:val="0"/>
          <w:numId w:val="2"/>
        </w:numPr>
        <w:spacing w:before="156" w:beforeLines="50" w:line="560" w:lineRule="exact"/>
        <w:ind w:firstLine="640" w:firstLineChars="200"/>
        <w:outlineLvl w:val="1"/>
        <w:rPr>
          <w:rFonts w:ascii="Times New Roman" w:hAnsi="Times New Roman" w:eastAsia="黑体" w:cs="黑体"/>
          <w:sz w:val="32"/>
          <w:szCs w:val="32"/>
        </w:rPr>
      </w:pPr>
      <w:bookmarkStart w:id="5" w:name="_Hlk217034395"/>
      <w:r>
        <w:rPr>
          <w:rFonts w:hint="eastAsia" w:ascii="Times New Roman" w:hAnsi="Times New Roman" w:eastAsia="黑体" w:cs="黑体"/>
          <w:sz w:val="32"/>
          <w:szCs w:val="32"/>
        </w:rPr>
        <w:t>【部门职责】</w:t>
      </w:r>
      <w:bookmarkEnd w:id="5"/>
      <w:r>
        <w:rPr>
          <w:rFonts w:hint="eastAsia" w:ascii="仿宋_GB2312" w:hAnsi="仿宋_GB2312" w:eastAsia="仿宋_GB2312" w:cs="仿宋_GB2312"/>
          <w:sz w:val="32"/>
          <w:szCs w:val="32"/>
        </w:rPr>
        <w:t>市</w:t>
      </w:r>
      <w:r>
        <w:rPr>
          <w:rFonts w:hint="eastAsia" w:ascii="仿宋_GB2312" w:hAnsi="仿宋_GB2312" w:eastAsia="仿宋_GB2312" w:cs="仿宋_GB2312"/>
          <w:color w:val="000000" w:themeColor="text1"/>
          <w:sz w:val="32"/>
          <w:szCs w:val="32"/>
          <w14:textFill>
            <w14:solidFill>
              <w14:schemeClr w14:val="tx1"/>
            </w14:solidFill>
          </w14:textFill>
        </w:rPr>
        <w:t>文化和旅游</w:t>
      </w:r>
      <w:r>
        <w:rPr>
          <w:rFonts w:hint="eastAsia" w:ascii="仿宋_GB2312" w:hAnsi="仿宋_GB2312" w:eastAsia="仿宋_GB2312" w:cs="仿宋_GB2312"/>
          <w:sz w:val="32"/>
          <w:szCs w:val="32"/>
        </w:rPr>
        <w:t>部门对本行政区域内的长城保护实施协调、指导和监督管理。</w:t>
      </w:r>
    </w:p>
    <w:p w14:paraId="6FC40553">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蓟州区文化和旅游部门</w:t>
      </w:r>
      <w:r>
        <w:rPr>
          <w:rFonts w:hint="eastAsia" w:ascii="仿宋_GB2312" w:hAnsi="仿宋_GB2312" w:eastAsia="仿宋_GB2312" w:cs="仿宋_GB2312"/>
          <w:sz w:val="32"/>
          <w:szCs w:val="32"/>
        </w:rPr>
        <w:t>对本行政区域内的长城保护实施监督管理。</w:t>
      </w:r>
    </w:p>
    <w:p w14:paraId="0EBC7AE9">
      <w:pPr>
        <w:pStyle w:val="4"/>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发展改革、规划资源、生态环境、住房城乡建设、城市管理、交通运输、水务、农业农村、应急管理、体育</w:t>
      </w:r>
      <w:r>
        <w:rPr>
          <w:rFonts w:hint="eastAsia" w:ascii="仿宋_GB2312" w:hAnsi="仿宋_GB2312" w:eastAsia="仿宋_GB2312" w:cs="仿宋_GB2312"/>
          <w:sz w:val="32"/>
          <w:szCs w:val="32"/>
        </w:rPr>
        <w:t>等有关部门按照各自职责，做好长城保护相关工作。</w:t>
      </w:r>
    </w:p>
    <w:p w14:paraId="7E1307D2">
      <w:pPr>
        <w:numPr>
          <w:ilvl w:val="0"/>
          <w:numId w:val="2"/>
        </w:numPr>
        <w:spacing w:before="156" w:beforeLines="50" w:line="560" w:lineRule="exact"/>
        <w:ind w:firstLine="640" w:firstLineChars="200"/>
        <w:outlineLvl w:val="1"/>
        <w:rPr>
          <w:rFonts w:ascii="Times New Roman" w:hAnsi="Times New Roman" w:eastAsia="黑体" w:cs="黑体"/>
          <w:sz w:val="32"/>
          <w:szCs w:val="32"/>
        </w:rPr>
      </w:pPr>
      <w:bookmarkStart w:id="6" w:name="_Hlk217034408"/>
      <w:r>
        <w:rPr>
          <w:rFonts w:hint="eastAsia" w:ascii="Times New Roman" w:hAnsi="Times New Roman" w:eastAsia="黑体" w:cs="黑体"/>
          <w:sz w:val="32"/>
          <w:szCs w:val="32"/>
        </w:rPr>
        <w:t>【区域协调】</w:t>
      </w:r>
      <w:bookmarkEnd w:id="6"/>
      <w:r>
        <w:rPr>
          <w:rFonts w:hint="eastAsia" w:ascii="仿宋_GB2312" w:hAnsi="仿宋_GB2312" w:eastAsia="仿宋_GB2312" w:cs="仿宋_GB2312"/>
          <w:sz w:val="32"/>
          <w:szCs w:val="32"/>
        </w:rPr>
        <w:t>本市推动建立与北京市、河北省的长城协同保护机制，协商长城保护修缮、开放利用等重大事项，加强规划衔接、信息共享、联合执法、应急联动，共同提升区域长城保护整体水平。</w:t>
      </w:r>
    </w:p>
    <w:p w14:paraId="22C9D969">
      <w:pPr>
        <w:numPr>
          <w:ilvl w:val="0"/>
          <w:numId w:val="2"/>
        </w:numPr>
        <w:spacing w:before="156" w:beforeLines="50" w:line="560" w:lineRule="exact"/>
        <w:ind w:firstLine="640" w:firstLineChars="200"/>
        <w:outlineLvl w:val="1"/>
        <w:rPr>
          <w:rFonts w:ascii="Times New Roman" w:hAnsi="Times New Roman" w:eastAsia="黑体" w:cs="黑体"/>
          <w:sz w:val="32"/>
          <w:szCs w:val="32"/>
        </w:rPr>
      </w:pPr>
      <w:bookmarkStart w:id="7" w:name="_Hlk217034419"/>
      <w:r>
        <w:rPr>
          <w:rFonts w:hint="eastAsia" w:ascii="Times New Roman" w:hAnsi="Times New Roman" w:eastAsia="黑体" w:cs="黑体"/>
          <w:sz w:val="32"/>
          <w:szCs w:val="32"/>
        </w:rPr>
        <w:t>【社会参与】</w:t>
      </w:r>
      <w:bookmarkEnd w:id="7"/>
      <w:r>
        <w:rPr>
          <w:rFonts w:hint="eastAsia" w:ascii="仿宋_GB2312" w:hAnsi="仿宋_GB2312" w:eastAsia="仿宋_GB2312" w:cs="仿宋_GB2312"/>
          <w:sz w:val="32"/>
          <w:szCs w:val="32"/>
        </w:rPr>
        <w:t>任何单位和个人都有依法保护长城的义务。</w:t>
      </w:r>
    </w:p>
    <w:p w14:paraId="00F49C09">
      <w:pPr>
        <w:pStyle w:val="4"/>
        <w:spacing w:after="0" w:line="560" w:lineRule="exact"/>
        <w:ind w:firstLine="640" w:firstLineChars="200"/>
        <w:rPr>
          <w:rFonts w:hint="eastAsia" w:asciiTheme="minorEastAsia" w:hAnsiTheme="minorEastAsia"/>
          <w:szCs w:val="21"/>
        </w:rPr>
      </w:pPr>
      <w:r>
        <w:rPr>
          <w:rFonts w:hint="eastAsia" w:ascii="仿宋_GB2312" w:hAnsi="仿宋_GB2312" w:eastAsia="仿宋_GB2312" w:cs="仿宋_GB2312"/>
          <w:color w:val="000000" w:themeColor="text1"/>
          <w:sz w:val="32"/>
          <w:szCs w:val="32"/>
          <w14:textFill>
            <w14:solidFill>
              <w14:schemeClr w14:val="tx1"/>
            </w14:solidFill>
          </w14:textFill>
        </w:rPr>
        <w:t>本市鼓励单位和个人通过捐赠、志愿服务等方式，参与长城保护。</w:t>
      </w:r>
    </w:p>
    <w:p w14:paraId="12317072">
      <w:pPr>
        <w:numPr>
          <w:ilvl w:val="0"/>
          <w:numId w:val="2"/>
        </w:numPr>
        <w:spacing w:before="156" w:beforeLines="50" w:line="560" w:lineRule="exact"/>
        <w:ind w:firstLine="640" w:firstLineChars="200"/>
        <w:outlineLvl w:val="1"/>
        <w:rPr>
          <w:rFonts w:hint="eastAsia" w:ascii="仿宋_GB2312" w:hAnsi="仿宋_GB2312" w:eastAsia="仿宋_GB2312" w:cs="仿宋_GB2312"/>
          <w:sz w:val="32"/>
          <w:szCs w:val="32"/>
        </w:rPr>
      </w:pPr>
      <w:r>
        <w:rPr>
          <w:rFonts w:hint="eastAsia" w:ascii="Times New Roman" w:hAnsi="Times New Roman" w:eastAsia="黑体" w:cs="黑体"/>
          <w:sz w:val="32"/>
          <w:szCs w:val="32"/>
        </w:rPr>
        <w:t>【科学保护】</w:t>
      </w:r>
      <w:r>
        <w:rPr>
          <w:rFonts w:hint="eastAsia" w:ascii="仿宋_GB2312" w:hAnsi="仿宋_GB2312" w:eastAsia="仿宋_GB2312" w:cs="仿宋_GB2312"/>
          <w:sz w:val="32"/>
          <w:szCs w:val="32"/>
        </w:rPr>
        <w:t>本市鼓励开展长城保护的科学研究，推广先进适用的长城保护技术，提高长城保护的科学技术水平。</w:t>
      </w:r>
    </w:p>
    <w:p w14:paraId="61063B38">
      <w:pPr>
        <w:numPr>
          <w:ilvl w:val="0"/>
          <w:numId w:val="2"/>
        </w:numPr>
        <w:spacing w:before="156" w:beforeLines="50"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黑体" w:cs="黑体"/>
          <w:sz w:val="32"/>
          <w:szCs w:val="32"/>
        </w:rPr>
        <w:t>【奖励】</w:t>
      </w:r>
      <w:r>
        <w:rPr>
          <w:rFonts w:hint="eastAsia" w:ascii="仿宋_GB2312" w:hAnsi="仿宋_GB2312" w:eastAsia="仿宋_GB2312" w:cs="仿宋_GB2312"/>
          <w:color w:val="000000" w:themeColor="text1"/>
          <w:sz w:val="32"/>
          <w:szCs w:val="32"/>
          <w14:textFill>
            <w14:solidFill>
              <w14:schemeClr w14:val="tx1"/>
            </w14:solidFill>
          </w14:textFill>
        </w:rPr>
        <w:t>本市</w:t>
      </w:r>
      <w:r>
        <w:rPr>
          <w:rFonts w:hint="eastAsia" w:ascii="仿宋_GB2312" w:hAnsi="仿宋_GB2312" w:eastAsia="仿宋_GB2312" w:cs="仿宋_GB2312"/>
          <w:sz w:val="32"/>
          <w:szCs w:val="32"/>
        </w:rPr>
        <w:t>对在长城保护中做出突出贡献的单位和个人，按照国家和本市有关规定给予表彰、奖励。</w:t>
      </w:r>
    </w:p>
    <w:p w14:paraId="0A2F280E">
      <w:pPr>
        <w:numPr>
          <w:ilvl w:val="0"/>
          <w:numId w:val="2"/>
        </w:numPr>
        <w:spacing w:before="156" w:beforeLines="50" w:line="560" w:lineRule="exact"/>
        <w:ind w:firstLine="640" w:firstLineChars="200"/>
        <w:outlineLvl w:val="1"/>
        <w:rPr>
          <w:rFonts w:hint="eastAsia" w:ascii="仿宋_GB2312" w:hAnsi="仿宋_GB2312" w:eastAsia="仿宋_GB2312" w:cs="仿宋_GB2312"/>
          <w:sz w:val="32"/>
          <w:szCs w:val="32"/>
        </w:rPr>
      </w:pPr>
      <w:bookmarkStart w:id="8" w:name="_Hlk217035589"/>
      <w:r>
        <w:rPr>
          <w:rFonts w:hint="eastAsia" w:ascii="Times New Roman" w:hAnsi="Times New Roman" w:eastAsia="黑体" w:cs="黑体"/>
          <w:sz w:val="32"/>
          <w:szCs w:val="32"/>
        </w:rPr>
        <w:t>【宣传教育】</w:t>
      </w:r>
      <w:bookmarkEnd w:id="8"/>
      <w:r>
        <w:rPr>
          <w:rFonts w:hint="eastAsia" w:ascii="仿宋_GB2312" w:hAnsi="仿宋_GB2312" w:eastAsia="仿宋_GB2312" w:cs="仿宋_GB2312"/>
          <w:sz w:val="32"/>
          <w:szCs w:val="32"/>
        </w:rPr>
        <w:t>本市加强长城保护的宣传教育，创新传播方式，弘扬长城所蕴含的爱国精神、民族精神、时代精神，营造全社会保护长城的良好氛围。</w:t>
      </w:r>
    </w:p>
    <w:p w14:paraId="12CBB4FA">
      <w:pPr>
        <w:numPr>
          <w:ilvl w:val="0"/>
          <w:numId w:val="2"/>
        </w:numPr>
        <w:spacing w:before="156" w:beforeLines="50" w:line="560" w:lineRule="exact"/>
        <w:ind w:firstLine="640" w:firstLineChars="200"/>
        <w:outlineLvl w:val="1"/>
        <w:rPr>
          <w:rFonts w:ascii="Times New Roman" w:hAnsi="Times New Roman" w:eastAsia="黑体" w:cs="黑体"/>
          <w:sz w:val="32"/>
          <w:szCs w:val="32"/>
        </w:rPr>
      </w:pPr>
      <w:bookmarkStart w:id="9" w:name="_Hlk217034525"/>
      <w:r>
        <w:rPr>
          <w:rFonts w:hint="eastAsia" w:ascii="Times New Roman" w:hAnsi="Times New Roman" w:eastAsia="黑体" w:cs="黑体"/>
          <w:sz w:val="32"/>
          <w:szCs w:val="32"/>
        </w:rPr>
        <w:t>【资源调查】</w:t>
      </w:r>
      <w:bookmarkEnd w:id="9"/>
      <w:r>
        <w:rPr>
          <w:rFonts w:hint="eastAsia" w:ascii="仿宋_GB2312" w:hAnsi="仿宋_GB2312" w:eastAsia="仿宋_GB2312" w:cs="仿宋_GB2312"/>
          <w:sz w:val="32"/>
          <w:szCs w:val="32"/>
        </w:rPr>
        <w:t>市人民政府应当组织开展长城资源调查，对认为属于长城点段的，应当依法报国务院文物行政部门认定并公布。</w:t>
      </w:r>
    </w:p>
    <w:p w14:paraId="1439164A">
      <w:pPr>
        <w:numPr>
          <w:ilvl w:val="0"/>
          <w:numId w:val="2"/>
        </w:numPr>
        <w:spacing w:before="156" w:beforeLines="50" w:line="560" w:lineRule="exact"/>
        <w:ind w:firstLine="640" w:firstLineChars="200"/>
        <w:outlineLvl w:val="1"/>
        <w:rPr>
          <w:rFonts w:ascii="Times New Roman" w:hAnsi="Times New Roman" w:eastAsia="黑体" w:cs="黑体"/>
          <w:sz w:val="32"/>
          <w:szCs w:val="32"/>
        </w:rPr>
      </w:pPr>
      <w:bookmarkStart w:id="10" w:name="_Hlk217034716"/>
      <w:bookmarkStart w:id="11" w:name="_Hlk217034625"/>
      <w:r>
        <w:rPr>
          <w:rFonts w:hint="eastAsia" w:ascii="Times New Roman" w:hAnsi="Times New Roman" w:eastAsia="黑体" w:cs="黑体"/>
          <w:sz w:val="32"/>
          <w:szCs w:val="32"/>
        </w:rPr>
        <w:t>【保护标志】</w:t>
      </w:r>
      <w:bookmarkEnd w:id="10"/>
      <w:r>
        <w:rPr>
          <w:rFonts w:hint="eastAsia" w:ascii="仿宋_GB2312" w:hAnsi="仿宋_GB2312" w:eastAsia="仿宋_GB2312" w:cs="仿宋_GB2312"/>
          <w:color w:val="000000" w:themeColor="text1"/>
          <w:sz w:val="32"/>
          <w:szCs w:val="32"/>
          <w14:textFill>
            <w14:solidFill>
              <w14:schemeClr w14:val="tx1"/>
            </w14:solidFill>
          </w14:textFill>
        </w:rPr>
        <w:t>市人民政府应当按照国家有关规定在长城沿线设立保护标志，设立保护标志不得对长城造成损坏。</w:t>
      </w:r>
    </w:p>
    <w:p w14:paraId="6D18CE47">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保护标志应当载明文物保护单位级别、名称、保护范围、建设控制地带、立标机关和立标日期等。</w:t>
      </w:r>
    </w:p>
    <w:p w14:paraId="6BAE58E0">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任何单位和个人不得擅自移动、涂改、损毁保护标志。</w:t>
      </w:r>
    </w:p>
    <w:p w14:paraId="5A86A583">
      <w:pPr>
        <w:numPr>
          <w:ilvl w:val="0"/>
          <w:numId w:val="2"/>
        </w:numPr>
        <w:spacing w:before="156" w:beforeLines="50" w:line="560" w:lineRule="exact"/>
        <w:ind w:firstLine="640" w:firstLineChars="200"/>
        <w:outlineLvl w:val="1"/>
        <w:rPr>
          <w:rFonts w:ascii="Times New Roman" w:hAnsi="Times New Roman" w:eastAsia="黑体" w:cs="黑体"/>
          <w:sz w:val="32"/>
          <w:szCs w:val="32"/>
        </w:rPr>
      </w:pPr>
      <w:r>
        <w:rPr>
          <w:rFonts w:hint="eastAsia" w:ascii="Times New Roman" w:hAnsi="Times New Roman" w:eastAsia="黑体" w:cs="黑体"/>
          <w:sz w:val="32"/>
          <w:szCs w:val="32"/>
        </w:rPr>
        <w:t>【规划编制】</w:t>
      </w:r>
      <w:bookmarkEnd w:id="11"/>
      <w:r>
        <w:rPr>
          <w:rFonts w:hint="eastAsia" w:ascii="仿宋_GB2312" w:hAnsi="仿宋_GB2312" w:eastAsia="仿宋_GB2312" w:cs="仿宋_GB2312"/>
          <w:sz w:val="32"/>
          <w:szCs w:val="32"/>
        </w:rPr>
        <w:t>市人民政府应当根据国家长城保护总体规划，结合本市实际，编制本市长城保护规划并组织实施。编制</w:t>
      </w:r>
      <w:r>
        <w:rPr>
          <w:rFonts w:hint="eastAsia" w:ascii="仿宋_GB2312" w:hAnsi="仿宋_GB2312" w:eastAsia="仿宋_GB2312" w:cs="仿宋_GB2312"/>
          <w:color w:val="000000" w:themeColor="text1"/>
          <w:sz w:val="32"/>
          <w:szCs w:val="32"/>
          <w14:textFill>
            <w14:solidFill>
              <w14:schemeClr w14:val="tx1"/>
            </w14:solidFill>
          </w14:textFill>
        </w:rPr>
        <w:t>长城保护规划应当与</w:t>
      </w:r>
      <w:r>
        <w:rPr>
          <w:rFonts w:hint="eastAsia" w:ascii="仿宋_GB2312" w:hAnsi="仿宋_GB2312" w:eastAsia="仿宋_GB2312" w:cs="仿宋_GB2312"/>
          <w:sz w:val="32"/>
          <w:szCs w:val="32"/>
        </w:rPr>
        <w:t>本市</w:t>
      </w:r>
      <w:r>
        <w:rPr>
          <w:rFonts w:hint="eastAsia" w:ascii="仿宋_GB2312" w:hAnsi="仿宋_GB2312" w:eastAsia="仿宋_GB2312" w:cs="仿宋_GB2312"/>
          <w:color w:val="000000" w:themeColor="text1"/>
          <w:sz w:val="32"/>
          <w:szCs w:val="32"/>
          <w14:textFill>
            <w14:solidFill>
              <w14:schemeClr w14:val="tx1"/>
            </w14:solidFill>
          </w14:textFill>
        </w:rPr>
        <w:t>国土空间等规划做好衔接。</w:t>
      </w:r>
    </w:p>
    <w:p w14:paraId="7A88824E">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蓟州区人民政府应当组织编制国家级长城重要点段文物保护规划，重点细化保护区划界划、保护管理规定及空间管控指标，报市人民政府批准后组织实施。</w:t>
      </w:r>
    </w:p>
    <w:p w14:paraId="3AC1FB6E">
      <w:pPr>
        <w:numPr>
          <w:ilvl w:val="0"/>
          <w:numId w:val="2"/>
        </w:numPr>
        <w:spacing w:before="156" w:beforeLines="50" w:line="560" w:lineRule="exact"/>
        <w:ind w:firstLine="640" w:firstLineChars="200"/>
        <w:outlineLvl w:val="1"/>
        <w:rPr>
          <w:rFonts w:ascii="Times New Roman" w:hAnsi="Times New Roman" w:eastAsia="黑体" w:cs="黑体"/>
          <w:sz w:val="32"/>
          <w:szCs w:val="32"/>
        </w:rPr>
      </w:pPr>
      <w:bookmarkStart w:id="12" w:name="_Hlk217034635"/>
      <w:r>
        <w:rPr>
          <w:rFonts w:hint="eastAsia" w:ascii="Times New Roman" w:hAnsi="Times New Roman" w:eastAsia="黑体" w:cs="黑体"/>
          <w:sz w:val="32"/>
          <w:szCs w:val="32"/>
        </w:rPr>
        <w:t>【保护区划及管理规定】</w:t>
      </w:r>
      <w:bookmarkEnd w:id="12"/>
      <w:r>
        <w:rPr>
          <w:rFonts w:hint="eastAsia" w:ascii="仿宋_GB2312" w:hAnsi="仿宋_GB2312" w:eastAsia="仿宋_GB2312" w:cs="仿宋_GB2312"/>
          <w:sz w:val="32"/>
          <w:szCs w:val="32"/>
        </w:rPr>
        <w:t>市人民政府应当依法划定长城的保护范围和建设控制地带，明确管控措施并予以公布。市文化和旅游部门应当将公布的保护范围和建设控制地带报国务院文物主管部门备案。</w:t>
      </w:r>
    </w:p>
    <w:p w14:paraId="5F694FD4">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长城保护范围内不得进行文物保护工程以外的其他建设工程或者爆破、钻探、挖掘等作业；因特殊情况需要进行的，应当依法履行报批程序，并保证长城安全。</w:t>
      </w:r>
    </w:p>
    <w:p w14:paraId="36CDD8A8">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在长城建设控制地带内进行建设工程，工程设计方案应当依法履行报批程序，不得破坏长城的历史风貌。</w:t>
      </w:r>
    </w:p>
    <w:p w14:paraId="57B9807D">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进行工程建设应当绕过长城。无法绕过的，应当采取挖掘地下通道的方式通过长城；无法挖掘地下通道的，应当采取架设桥梁</w:t>
      </w:r>
      <w:r>
        <w:rPr>
          <w:rFonts w:hint="eastAsia" w:ascii="仿宋_GB2312" w:hAnsi="仿宋_GB2312" w:eastAsia="仿宋_GB2312" w:cs="仿宋_GB2312"/>
          <w:color w:val="000000" w:themeColor="text1"/>
          <w:sz w:val="32"/>
          <w:szCs w:val="32"/>
          <w14:textFill>
            <w14:solidFill>
              <w14:schemeClr w14:val="tx1"/>
            </w14:solidFill>
          </w14:textFill>
        </w:rPr>
        <w:t>或者其他更有利于保护长城的方式</w:t>
      </w:r>
      <w:r>
        <w:rPr>
          <w:rFonts w:ascii="仿宋_GB2312" w:hAnsi="仿宋_GB2312" w:eastAsia="仿宋_GB2312" w:cs="仿宋_GB2312"/>
          <w:color w:val="000000" w:themeColor="text1"/>
          <w:sz w:val="32"/>
          <w:szCs w:val="32"/>
          <w14:textFill>
            <w14:solidFill>
              <w14:schemeClr w14:val="tx1"/>
            </w14:solidFill>
          </w14:textFill>
        </w:rPr>
        <w:t>通过长城。</w:t>
      </w:r>
    </w:p>
    <w:p w14:paraId="0F789877">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任何单位或者个人进行工程建设，不得拆除、穿越、迁移长城。</w:t>
      </w:r>
    </w:p>
    <w:p w14:paraId="2AB889E2">
      <w:pPr>
        <w:numPr>
          <w:ilvl w:val="0"/>
          <w:numId w:val="2"/>
        </w:numPr>
        <w:spacing w:before="156" w:beforeLines="50" w:line="560" w:lineRule="exact"/>
        <w:ind w:firstLine="640" w:firstLineChars="200"/>
        <w:outlineLvl w:val="1"/>
        <w:rPr>
          <w:rFonts w:hint="eastAsia" w:ascii="黑体" w:hAnsi="黑体" w:eastAsia="黑体" w:cs="黑体"/>
          <w:sz w:val="32"/>
          <w:szCs w:val="32"/>
        </w:rPr>
      </w:pPr>
      <w:r>
        <w:rPr>
          <w:rFonts w:hint="eastAsia" w:ascii="Times New Roman" w:hAnsi="Times New Roman" w:eastAsia="黑体" w:cs="黑体"/>
          <w:sz w:val="32"/>
          <w:szCs w:val="32"/>
        </w:rPr>
        <w:t>【保护区划禁止行为】</w:t>
      </w:r>
      <w:r>
        <w:rPr>
          <w:rFonts w:hint="eastAsia" w:ascii="仿宋_GB2312" w:hAnsi="仿宋_GB2312" w:eastAsia="仿宋_GB2312" w:cs="仿宋_GB2312"/>
          <w:sz w:val="32"/>
          <w:szCs w:val="32"/>
        </w:rPr>
        <w:t>在长城的保护范围和建设控制地带内，不得建设污染长城及其环境的设施，不得进行可能影响长城安全及其环境的活动。对已有的污染长城及其环境的设施，依照生态环境有关法律法规的规定处理。</w:t>
      </w:r>
    </w:p>
    <w:p w14:paraId="52052A66">
      <w:pPr>
        <w:numPr>
          <w:ilvl w:val="0"/>
          <w:numId w:val="2"/>
        </w:numPr>
        <w:spacing w:before="156" w:beforeLines="50"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黑体" w:cs="黑体"/>
          <w:sz w:val="32"/>
          <w:szCs w:val="32"/>
        </w:rPr>
        <w:t>【生态环境】</w:t>
      </w:r>
      <w:r>
        <w:rPr>
          <w:rFonts w:hint="eastAsia" w:ascii="仿宋_GB2312" w:hAnsi="仿宋_GB2312" w:eastAsia="仿宋_GB2312" w:cs="仿宋_GB2312"/>
          <w:color w:val="000000" w:themeColor="text1"/>
          <w:sz w:val="32"/>
          <w:szCs w:val="32"/>
          <w14:textFill>
            <w14:solidFill>
              <w14:schemeClr w14:val="tx1"/>
            </w14:solidFill>
          </w14:textFill>
        </w:rPr>
        <w:t>任何单位和个人应当依法保护长城周边山体、水体和植被等生态环境。</w:t>
      </w:r>
    </w:p>
    <w:p w14:paraId="10005783">
      <w:pPr>
        <w:pStyle w:val="4"/>
        <w:spacing w:after="0" w:line="560" w:lineRule="exact"/>
        <w:ind w:firstLine="643" w:firstLineChars="20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蓟州区人民政府应当加强长城赋存自然环境的保护，防止水土流失、地质灾害对长城的侵害；在洪水可能危及长城安全的地段，应当设置防洪坝、分洪槽等防洪设施。</w:t>
      </w:r>
    </w:p>
    <w:p w14:paraId="680F59E0">
      <w:pPr>
        <w:numPr>
          <w:ilvl w:val="0"/>
          <w:numId w:val="2"/>
        </w:numPr>
        <w:spacing w:before="156" w:beforeLines="50" w:line="560" w:lineRule="exact"/>
        <w:ind w:firstLine="640" w:firstLineChars="200"/>
        <w:outlineLvl w:val="1"/>
        <w:rPr>
          <w:rFonts w:hint="eastAsia" w:ascii="黑体" w:hAnsi="黑体" w:eastAsia="黑体" w:cs="黑体"/>
          <w:sz w:val="32"/>
          <w:szCs w:val="32"/>
        </w:rPr>
      </w:pPr>
      <w:r>
        <w:rPr>
          <w:rFonts w:hint="eastAsia" w:ascii="Times New Roman" w:hAnsi="Times New Roman" w:eastAsia="黑体" w:cs="黑体"/>
          <w:sz w:val="32"/>
          <w:szCs w:val="32"/>
        </w:rPr>
        <w:t>【长城上禁止行为】</w:t>
      </w:r>
      <w:r>
        <w:rPr>
          <w:rFonts w:hint="eastAsia" w:ascii="仿宋_GB2312" w:hAnsi="仿宋_GB2312" w:eastAsia="仿宋_GB2312" w:cs="仿宋_GB2312"/>
          <w:sz w:val="32"/>
          <w:szCs w:val="32"/>
        </w:rPr>
        <w:t>禁止在长城上从事下列活动:</w:t>
      </w:r>
    </w:p>
    <w:p w14:paraId="30408162">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（一）取土、取砖(石)或者种植作物;</w:t>
      </w:r>
    </w:p>
    <w:p w14:paraId="01947F71">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（二）刻划、涂污；</w:t>
      </w:r>
    </w:p>
    <w:p w14:paraId="28F801A4">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）架设、安装与长城保护无关的设施、设备;</w:t>
      </w:r>
    </w:p>
    <w:p w14:paraId="5D2A4C47">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（四）驾驶交通工具，或者利用交通工具等跨越长城;</w:t>
      </w:r>
    </w:p>
    <w:p w14:paraId="75833C7B">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（五）展示可能损坏长城的器具;</w:t>
      </w:r>
    </w:p>
    <w:p w14:paraId="710D61A3">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（六）有组织地在未辟为参观游览区的长城举行活动;</w:t>
      </w:r>
    </w:p>
    <w:p w14:paraId="0185D990">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（七）法律、法规禁止的其他活动。</w:t>
      </w:r>
    </w:p>
    <w:p w14:paraId="2A88C42A">
      <w:pPr>
        <w:numPr>
          <w:ilvl w:val="0"/>
          <w:numId w:val="2"/>
        </w:numPr>
        <w:spacing w:before="156" w:beforeLines="50" w:line="560" w:lineRule="exact"/>
        <w:ind w:firstLine="640" w:firstLineChars="200"/>
        <w:outlineLvl w:val="1"/>
        <w:rPr>
          <w:rFonts w:ascii="Times New Roman" w:hAnsi="Times New Roman" w:eastAsia="黑体" w:cs="黑体"/>
        </w:rPr>
      </w:pPr>
      <w:bookmarkStart w:id="13" w:name="_Hlk217034741"/>
      <w:r>
        <w:rPr>
          <w:rFonts w:hint="eastAsia" w:ascii="Times New Roman" w:hAnsi="Times New Roman" w:eastAsia="黑体" w:cs="黑体"/>
          <w:sz w:val="32"/>
          <w:szCs w:val="32"/>
        </w:rPr>
        <w:t>【保护机构】</w:t>
      </w:r>
      <w:bookmarkEnd w:id="13"/>
      <w:r>
        <w:rPr>
          <w:rFonts w:hint="eastAsia" w:ascii="仿宋_GB2312" w:hAnsi="仿宋_GB2312" w:eastAsia="仿宋_GB2312" w:cs="仿宋_GB2312"/>
          <w:sz w:val="32"/>
          <w:szCs w:val="32"/>
        </w:rPr>
        <w:t>依法确定的长城保护机构对其负责的长城点段进行日常巡查、养护和监测，并建立日志。发现安全隐患的，应当立即采取控制措施，并及时向蓟州区文化和旅游部门报告。</w:t>
      </w:r>
    </w:p>
    <w:p w14:paraId="5BDA4D68">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有长城点段分布的自然保护区、风景名胜区、地质公园、森林公园等自然保护地的管理单位应当配合</w:t>
      </w:r>
      <w:r>
        <w:rPr>
          <w:rFonts w:hint="eastAsia" w:ascii="仿宋_GB2312" w:hAnsi="仿宋_GB2312" w:eastAsia="仿宋_GB2312" w:cs="仿宋_GB2312"/>
          <w:sz w:val="32"/>
          <w:szCs w:val="32"/>
        </w:rPr>
        <w:t>文化和旅游</w:t>
      </w:r>
      <w:r>
        <w:rPr>
          <w:rFonts w:hint="eastAsia" w:ascii="仿宋_GB2312" w:hAnsi="仿宋_GB2312" w:eastAsia="仿宋_GB2312" w:cs="仿宋_GB2312"/>
          <w:color w:val="000000" w:themeColor="text1"/>
          <w:sz w:val="32"/>
          <w:szCs w:val="32"/>
          <w14:textFill>
            <w14:solidFill>
              <w14:schemeClr w14:val="tx1"/>
            </w14:solidFill>
          </w14:textFill>
        </w:rPr>
        <w:t>部门和长城保护机构依法开展相关工作。</w:t>
      </w:r>
    </w:p>
    <w:p w14:paraId="14E243EB">
      <w:pPr>
        <w:numPr>
          <w:ilvl w:val="0"/>
          <w:numId w:val="2"/>
        </w:numPr>
        <w:spacing w:before="156" w:beforeLines="50" w:line="560" w:lineRule="exact"/>
        <w:ind w:firstLine="640" w:firstLineChars="200"/>
        <w:outlineLvl w:val="1"/>
        <w:rPr>
          <w:rFonts w:ascii="Times New Roman" w:hAnsi="Times New Roman" w:eastAsia="黑体" w:cs="黑体"/>
          <w:sz w:val="32"/>
          <w:szCs w:val="32"/>
        </w:rPr>
      </w:pPr>
      <w:bookmarkStart w:id="14" w:name="_Hlk217034781"/>
      <w:r>
        <w:rPr>
          <w:rFonts w:hint="eastAsia" w:ascii="Times New Roman" w:hAnsi="Times New Roman" w:eastAsia="黑体" w:cs="黑体"/>
          <w:sz w:val="32"/>
          <w:szCs w:val="32"/>
        </w:rPr>
        <w:t>【长城保护员】</w:t>
      </w:r>
      <w:bookmarkEnd w:id="14"/>
      <w:r>
        <w:rPr>
          <w:rFonts w:hint="eastAsia" w:ascii="仿宋_GB2312" w:hAnsi="仿宋_GB2312" w:eastAsia="仿宋_GB2312" w:cs="仿宋_GB2312"/>
          <w:sz w:val="32"/>
          <w:szCs w:val="32"/>
        </w:rPr>
        <w:t>蓟州区</w:t>
      </w:r>
      <w:r>
        <w:rPr>
          <w:rFonts w:ascii="仿宋_GB2312" w:hAnsi="仿宋_GB2312" w:eastAsia="仿宋_GB2312" w:cs="仿宋_GB2312"/>
          <w:sz w:val="32"/>
          <w:szCs w:val="32"/>
        </w:rPr>
        <w:t>人民政府应当加强长城保护员队伍建设。长城保护员应当对负责的长城点段进行巡查、看护，</w:t>
      </w:r>
      <w:r>
        <w:rPr>
          <w:rFonts w:hint="eastAsia" w:ascii="仿宋_GB2312" w:hAnsi="仿宋_GB2312" w:eastAsia="仿宋_GB2312" w:cs="仿宋_GB2312"/>
          <w:sz w:val="32"/>
          <w:szCs w:val="32"/>
        </w:rPr>
        <w:t>及时报告</w:t>
      </w:r>
      <w:r>
        <w:rPr>
          <w:rFonts w:ascii="仿宋_GB2312" w:hAnsi="仿宋_GB2312" w:eastAsia="仿宋_GB2312" w:cs="仿宋_GB2312"/>
          <w:sz w:val="32"/>
          <w:szCs w:val="32"/>
        </w:rPr>
        <w:t>长城点段</w:t>
      </w:r>
      <w:r>
        <w:rPr>
          <w:rFonts w:hint="eastAsia" w:ascii="仿宋_GB2312" w:hAnsi="仿宋_GB2312" w:eastAsia="仿宋_GB2312" w:cs="仿宋_GB2312"/>
          <w:sz w:val="32"/>
          <w:szCs w:val="32"/>
        </w:rPr>
        <w:t>受到人为破坏或者自然损毁的情况</w:t>
      </w:r>
      <w:r>
        <w:rPr>
          <w:rFonts w:ascii="仿宋_GB2312" w:hAnsi="仿宋_GB2312" w:eastAsia="仿宋_GB2312" w:cs="仿宋_GB2312"/>
          <w:sz w:val="32"/>
          <w:szCs w:val="32"/>
        </w:rPr>
        <w:t>。</w:t>
      </w:r>
    </w:p>
    <w:p w14:paraId="76F1352B">
      <w:pPr>
        <w:numPr>
          <w:ilvl w:val="0"/>
          <w:numId w:val="2"/>
        </w:numPr>
        <w:spacing w:before="156" w:beforeLines="50" w:line="560" w:lineRule="exact"/>
        <w:ind w:firstLine="640" w:firstLineChars="200"/>
        <w:outlineLvl w:val="1"/>
        <w:rPr>
          <w:rFonts w:hint="eastAsia" w:ascii="黑体" w:hAnsi="黑体" w:eastAsia="黑体" w:cs="黑体"/>
          <w:b/>
          <w:sz w:val="32"/>
          <w:szCs w:val="32"/>
        </w:rPr>
      </w:pPr>
      <w:bookmarkStart w:id="15" w:name="_Hlk217034950"/>
      <w:r>
        <w:rPr>
          <w:rFonts w:hint="eastAsia" w:ascii="Times New Roman" w:hAnsi="Times New Roman" w:eastAsia="黑体" w:cs="黑体"/>
          <w:sz w:val="32"/>
          <w:szCs w:val="32"/>
        </w:rPr>
        <w:t>【保护工程要求】</w:t>
      </w:r>
      <w:bookmarkEnd w:id="15"/>
      <w:r>
        <w:rPr>
          <w:rFonts w:ascii="仿宋_GB2312" w:hAnsi="仿宋_GB2312" w:eastAsia="仿宋_GB2312" w:cs="仿宋_GB2312"/>
          <w:sz w:val="32"/>
          <w:szCs w:val="32"/>
        </w:rPr>
        <w:t>实施长城保护工程应当遵守不改变文物原状和最小干预的原则，根据长城保存状况</w:t>
      </w:r>
      <w:r>
        <w:rPr>
          <w:rFonts w:hint="eastAsia" w:ascii="仿宋_GB2312" w:hAnsi="仿宋_GB2312" w:eastAsia="仿宋_GB2312" w:cs="仿宋_GB2312"/>
          <w:sz w:val="32"/>
          <w:szCs w:val="32"/>
        </w:rPr>
        <w:t>依法</w:t>
      </w:r>
      <w:r>
        <w:rPr>
          <w:rFonts w:ascii="仿宋_GB2312" w:hAnsi="仿宋_GB2312" w:eastAsia="仿宋_GB2312" w:cs="仿宋_GB2312"/>
          <w:sz w:val="32"/>
          <w:szCs w:val="32"/>
        </w:rPr>
        <w:t>实施相应保养维护、抢险加固、修缮和保护性设施建设。</w:t>
      </w:r>
    </w:p>
    <w:p w14:paraId="0C006E88">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对面临突发严重危险的长城点段，蓟州区文化和旅游部门应当及时采取具有可逆性的临时抢险加固措施，同时报告蓟州区人民政府和市文化和旅游部门。</w:t>
      </w:r>
    </w:p>
    <w:p w14:paraId="053E4C31">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长城点段已经损毁的，应当实施遗址保护，不得在原址重建。</w:t>
      </w:r>
    </w:p>
    <w:p w14:paraId="592293EB">
      <w:pPr>
        <w:numPr>
          <w:ilvl w:val="0"/>
          <w:numId w:val="2"/>
        </w:numPr>
        <w:spacing w:before="156" w:beforeLines="50" w:line="560" w:lineRule="exact"/>
        <w:ind w:firstLine="640" w:firstLineChars="200"/>
        <w:outlineLvl w:val="1"/>
        <w:rPr>
          <w:rFonts w:ascii="Times New Roman" w:hAnsi="Times New Roman" w:eastAsia="黑体" w:cs="黑体"/>
          <w:sz w:val="32"/>
          <w:szCs w:val="32"/>
        </w:rPr>
      </w:pPr>
      <w:bookmarkStart w:id="16" w:name="_Hlk217034705"/>
      <w:bookmarkStart w:id="17" w:name="_Hlk217035084"/>
      <w:r>
        <w:rPr>
          <w:rFonts w:hint="eastAsia" w:ascii="Times New Roman" w:hAnsi="Times New Roman" w:eastAsia="黑体" w:cs="黑体"/>
          <w:sz w:val="32"/>
          <w:szCs w:val="32"/>
        </w:rPr>
        <w:t>【专家咨询】</w:t>
      </w:r>
      <w:bookmarkEnd w:id="16"/>
      <w:r>
        <w:rPr>
          <w:rFonts w:hint="eastAsia" w:ascii="仿宋_GB2312" w:hAnsi="仿宋_GB2312" w:eastAsia="仿宋_GB2312" w:cs="仿宋_GB2312"/>
          <w:sz w:val="32"/>
          <w:szCs w:val="32"/>
        </w:rPr>
        <w:t>市和蓟州区人民政府及其相关部门制定长城保护规划、审批与长城有关的建设工程、决定与长城保护有关的其他重大事项，应当听取专家意见。</w:t>
      </w:r>
    </w:p>
    <w:p w14:paraId="0F572F0E">
      <w:pPr>
        <w:numPr>
          <w:ilvl w:val="0"/>
          <w:numId w:val="2"/>
        </w:numPr>
        <w:spacing w:before="156" w:beforeLines="50" w:line="560" w:lineRule="exact"/>
        <w:ind w:firstLine="640" w:firstLineChars="200"/>
        <w:outlineLvl w:val="1"/>
        <w:rPr>
          <w:rFonts w:ascii="Times New Roman" w:hAnsi="Times New Roman" w:eastAsia="黑体" w:cs="黑体"/>
          <w:sz w:val="32"/>
          <w:szCs w:val="32"/>
        </w:rPr>
      </w:pPr>
      <w:r>
        <w:rPr>
          <w:rFonts w:hint="eastAsia" w:ascii="Times New Roman" w:hAnsi="Times New Roman" w:eastAsia="黑体" w:cs="黑体"/>
          <w:sz w:val="32"/>
          <w:szCs w:val="32"/>
        </w:rPr>
        <w:t>【</w:t>
      </w:r>
      <w:r>
        <w:rPr>
          <w:rFonts w:ascii="Times New Roman" w:hAnsi="Times New Roman" w:eastAsia="黑体" w:cs="黑体"/>
          <w:sz w:val="32"/>
          <w:szCs w:val="32"/>
        </w:rPr>
        <w:t>研究交流</w:t>
      </w:r>
      <w:r>
        <w:rPr>
          <w:rFonts w:hint="eastAsia" w:ascii="Times New Roman" w:hAnsi="Times New Roman" w:eastAsia="黑体" w:cs="黑体"/>
          <w:sz w:val="32"/>
          <w:szCs w:val="32"/>
        </w:rPr>
        <w:t>】</w:t>
      </w:r>
      <w:r>
        <w:rPr>
          <w:rFonts w:hint="eastAsia" w:ascii="仿宋_GB2312" w:hAnsi="仿宋_GB2312" w:eastAsia="仿宋_GB2312" w:cs="仿宋_GB2312"/>
          <w:sz w:val="32"/>
          <w:szCs w:val="32"/>
        </w:rPr>
        <w:t>市和蓟州区人民政府及其有关部门应当组织开展长城所承载的历史、艺术、科学价值和所蕴含的时代精神专题研究，推动研究成果转化应用。</w:t>
      </w:r>
    </w:p>
    <w:p w14:paraId="3D2400D9">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鼓励科研机构、高等学校、社会组织等单位和个人，开展</w:t>
      </w:r>
      <w:r>
        <w:rPr>
          <w:rFonts w:hint="eastAsia" w:ascii="仿宋_GB2312" w:hAnsi="仿宋_GB2312" w:eastAsia="仿宋_GB2312" w:cs="仿宋_GB2312"/>
          <w:sz w:val="32"/>
          <w:szCs w:val="32"/>
        </w:rPr>
        <w:t>长城文物考古、历史文化、遗产保护等领域的研究和</w:t>
      </w:r>
      <w:r>
        <w:rPr>
          <w:rFonts w:hint="eastAsia" w:ascii="仿宋_GB2312" w:hAnsi="仿宋_GB2312" w:eastAsia="仿宋_GB2312" w:cs="仿宋_GB2312"/>
          <w:color w:val="000000" w:themeColor="text1"/>
          <w:sz w:val="32"/>
          <w:szCs w:val="32"/>
          <w14:textFill>
            <w14:solidFill>
              <w14:schemeClr w14:val="tx1"/>
            </w14:solidFill>
          </w14:textFill>
        </w:rPr>
        <w:t>国内外交流与合作。</w:t>
      </w:r>
    </w:p>
    <w:bookmarkEnd w:id="17"/>
    <w:p w14:paraId="224AF988">
      <w:pPr>
        <w:numPr>
          <w:ilvl w:val="0"/>
          <w:numId w:val="2"/>
        </w:numPr>
        <w:spacing w:before="156" w:beforeLines="50" w:line="560" w:lineRule="exact"/>
        <w:ind w:firstLine="640" w:firstLineChars="200"/>
        <w:outlineLvl w:val="1"/>
        <w:rPr>
          <w:rFonts w:ascii="Times New Roman" w:hAnsi="Times New Roman" w:eastAsia="黑体" w:cs="黑体"/>
          <w:sz w:val="32"/>
          <w:szCs w:val="32"/>
        </w:rPr>
      </w:pPr>
      <w:r>
        <w:rPr>
          <w:rFonts w:hint="eastAsia" w:ascii="Times New Roman" w:hAnsi="Times New Roman" w:eastAsia="黑体" w:cs="黑体"/>
          <w:sz w:val="32"/>
          <w:szCs w:val="32"/>
        </w:rPr>
        <w:t>【国家文化公园建设】</w:t>
      </w:r>
      <w:r>
        <w:rPr>
          <w:rFonts w:hint="eastAsia" w:ascii="仿宋_GB2312" w:hAnsi="仿宋_GB2312" w:eastAsia="仿宋_GB2312" w:cs="仿宋_GB2312"/>
          <w:sz w:val="32"/>
          <w:szCs w:val="32"/>
        </w:rPr>
        <w:t>本市推动长城国家文化公园建设，加强长城文化遗产及其生态环境保护、活态传承展示、文旅融合发展，把长城国家文化公园</w:t>
      </w:r>
      <w:r>
        <w:rPr>
          <w:rFonts w:hint="eastAsia" w:ascii="仿宋_GB2312" w:hAnsi="仿宋_GB2312" w:eastAsia="仿宋_GB2312" w:cs="仿宋_GB2312"/>
          <w:color w:val="000000" w:themeColor="text1"/>
          <w:sz w:val="32"/>
          <w:szCs w:val="32"/>
          <w14:textFill>
            <w14:solidFill>
              <w14:schemeClr w14:val="tx1"/>
            </w14:solidFill>
          </w14:textFill>
        </w:rPr>
        <w:t>打造成为驱动京津冀文化旅游协同发展的纽带、中华文化永续传承的重要载体和彰显国家文化自信的重要标志。</w:t>
      </w:r>
    </w:p>
    <w:p w14:paraId="5BB310D2">
      <w:pPr>
        <w:numPr>
          <w:ilvl w:val="0"/>
          <w:numId w:val="2"/>
        </w:numPr>
        <w:spacing w:before="156" w:beforeLines="50" w:line="560" w:lineRule="exact"/>
        <w:ind w:firstLine="640" w:firstLineChars="200"/>
        <w:outlineLvl w:val="1"/>
        <w:rPr>
          <w:rFonts w:ascii="Times New Roman" w:hAnsi="Times New Roman" w:eastAsia="黑体" w:cs="黑体"/>
          <w:sz w:val="32"/>
          <w:szCs w:val="32"/>
        </w:rPr>
      </w:pPr>
      <w:bookmarkStart w:id="18" w:name="_Hlk217035201"/>
      <w:r>
        <w:rPr>
          <w:rFonts w:hint="eastAsia" w:ascii="Times New Roman" w:hAnsi="Times New Roman" w:eastAsia="黑体" w:cs="黑体"/>
          <w:sz w:val="32"/>
          <w:szCs w:val="32"/>
        </w:rPr>
        <w:t>【游览区条件】</w:t>
      </w:r>
      <w:r>
        <w:rPr>
          <w:rFonts w:hint="eastAsia" w:ascii="仿宋_GB2312" w:hAnsi="仿宋_GB2312" w:eastAsia="仿宋_GB2312" w:cs="仿宋_GB2312"/>
          <w:sz w:val="32"/>
          <w:szCs w:val="32"/>
        </w:rPr>
        <w:t>蓟州区人民政府推动有条件的长城点段开辟为参观游览区。开辟为参观游览区，应当符合以下条件：</w:t>
      </w:r>
    </w:p>
    <w:p w14:paraId="5E18A0AA">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（一）适宜参观游览，并能够满足游客安全和长城文物安全的要求； </w:t>
      </w:r>
    </w:p>
    <w:p w14:paraId="792D4082">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（二）有明确的保护机构，已依法划定保护范围、建设控制地带，并已建立保护标志、档案；</w:t>
      </w:r>
    </w:p>
    <w:p w14:paraId="6F5EBE64">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（三）符合国家长城保护总体规划和本市长城保护规划的要求。</w:t>
      </w:r>
    </w:p>
    <w:p w14:paraId="3EFD2E00">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长城点段辟为参观游览区前，蓟州区人民政府应当组织开展长城点段保存现状、开放可行性、可承载的利用类型以及强度等专项评估。</w:t>
      </w:r>
    </w:p>
    <w:p w14:paraId="592F9E4C">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将长城点段辟为参观游览区的，应当按照国家有关规定备案，并合理确定开放时间和游客承载量。</w:t>
      </w:r>
    </w:p>
    <w:p w14:paraId="311B3E76">
      <w:pPr>
        <w:numPr>
          <w:ilvl w:val="0"/>
          <w:numId w:val="2"/>
        </w:numPr>
        <w:spacing w:before="156" w:beforeLines="50" w:line="560" w:lineRule="exact"/>
        <w:ind w:firstLine="640" w:firstLineChars="200"/>
        <w:outlineLvl w:val="1"/>
        <w:rPr>
          <w:rFonts w:ascii="Times New Roman" w:hAnsi="Times New Roman" w:eastAsia="黑体" w:cs="黑体"/>
          <w:sz w:val="32"/>
          <w:szCs w:val="32"/>
        </w:rPr>
      </w:pPr>
      <w:r>
        <w:rPr>
          <w:rFonts w:hint="eastAsia" w:ascii="Times New Roman" w:hAnsi="Times New Roman" w:eastAsia="黑体" w:cs="黑体"/>
          <w:sz w:val="32"/>
          <w:szCs w:val="32"/>
        </w:rPr>
        <w:t>【游览区运营要求】</w:t>
      </w:r>
      <w:r>
        <w:rPr>
          <w:rFonts w:hint="eastAsia" w:ascii="仿宋_GB2312" w:hAnsi="仿宋_GB2312" w:eastAsia="仿宋_GB2312" w:cs="仿宋_GB2312"/>
          <w:sz w:val="32"/>
          <w:szCs w:val="32"/>
        </w:rPr>
        <w:t>长城参观游览区运营单位应当科学合理设置参观游览路线，</w:t>
      </w:r>
      <w:r>
        <w:rPr>
          <w:rFonts w:ascii="仿宋_GB2312" w:hAnsi="仿宋_GB2312" w:eastAsia="仿宋_GB2312" w:cs="仿宋_GB2312"/>
          <w:sz w:val="32"/>
          <w:szCs w:val="32"/>
        </w:rPr>
        <w:t>规范</w:t>
      </w:r>
      <w:r>
        <w:rPr>
          <w:rFonts w:hint="eastAsia" w:ascii="仿宋_GB2312" w:hAnsi="仿宋_GB2312" w:eastAsia="仿宋_GB2312" w:cs="仿宋_GB2312"/>
          <w:sz w:val="32"/>
          <w:szCs w:val="32"/>
        </w:rPr>
        <w:t>宣传讲解，引导旅游者安全、文明、环保旅游；制定突发事件应急预案，并配备必要的应急装备和人员；配合文化和旅游部门、长城保护机构依法开展相关长城保护工作。</w:t>
      </w:r>
    </w:p>
    <w:p w14:paraId="5AD31860">
      <w:pPr>
        <w:ind w:firstLine="640" w:firstLineChars="200"/>
        <w:rPr>
          <w:rFonts w:hint="eastAsia" w:ascii="仿宋_GB2312" w:hAnsi="仿宋_GB2312" w:eastAsia="仿宋_GB2312" w:cs="仿宋_GB2312"/>
          <w:sz w:val="32"/>
          <w:szCs w:val="32"/>
        </w:rPr>
      </w:pPr>
      <w:bookmarkStart w:id="19" w:name="_Hlk218788645"/>
      <w:r>
        <w:rPr>
          <w:rFonts w:hint="eastAsia" w:ascii="仿宋_GB2312" w:hAnsi="仿宋_GB2312" w:eastAsia="仿宋_GB2312" w:cs="仿宋_GB2312"/>
          <w:sz w:val="32"/>
          <w:szCs w:val="32"/>
        </w:rPr>
        <w:t>长城参观游览区经营性收入，应当优先用于长城保护。</w:t>
      </w:r>
      <w:r>
        <w:rPr>
          <w:rFonts w:ascii="仿宋_GB2312" w:hAnsi="仿宋_GB2312" w:eastAsia="仿宋_GB2312" w:cs="仿宋_GB2312"/>
          <w:sz w:val="32"/>
          <w:szCs w:val="32"/>
        </w:rPr>
        <w:tab/>
      </w:r>
    </w:p>
    <w:bookmarkEnd w:id="19"/>
    <w:p w14:paraId="3B5F0A79">
      <w:pPr>
        <w:numPr>
          <w:ilvl w:val="0"/>
          <w:numId w:val="2"/>
        </w:numPr>
        <w:spacing w:before="156" w:beforeLines="50" w:line="560" w:lineRule="exact"/>
        <w:ind w:firstLine="640" w:firstLineChars="200"/>
        <w:outlineLvl w:val="1"/>
        <w:rPr>
          <w:rFonts w:ascii="Times New Roman" w:hAnsi="Times New Roman" w:eastAsia="黑体" w:cs="黑体"/>
          <w:sz w:val="32"/>
          <w:szCs w:val="32"/>
        </w:rPr>
      </w:pPr>
      <w:bookmarkStart w:id="20" w:name="_Hlk218788663"/>
      <w:r>
        <w:rPr>
          <w:rFonts w:hint="eastAsia" w:ascii="Times New Roman" w:hAnsi="Times New Roman" w:eastAsia="黑体" w:cs="黑体"/>
          <w:sz w:val="32"/>
          <w:szCs w:val="32"/>
        </w:rPr>
        <w:t>【非参观游览区要求】</w:t>
      </w:r>
      <w:r>
        <w:rPr>
          <w:rFonts w:hint="eastAsia" w:ascii="仿宋_GB2312" w:hAnsi="仿宋_GB2312" w:eastAsia="仿宋_GB2312" w:cs="仿宋_GB2312"/>
          <w:color w:val="000000" w:themeColor="text1"/>
          <w:sz w:val="32"/>
          <w:szCs w:val="32"/>
          <w14:textFill>
            <w14:solidFill>
              <w14:schemeClr w14:val="tx1"/>
            </w14:solidFill>
          </w14:textFill>
        </w:rPr>
        <w:t>蓟州区文化和旅游部门</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长城所在地镇人民政府应当加大尚未辟为参观游览区的长城点段的日常巡查频次，及时排查并采取必要措施消除长城安全隐患，发现和制止破坏长城的违法行为。</w:t>
      </w:r>
    </w:p>
    <w:p w14:paraId="3D5EDDDF">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旅游景区内</w:t>
      </w:r>
      <w:r>
        <w:rPr>
          <w:rFonts w:ascii="仿宋_GB2312" w:hAnsi="仿宋_GB2312" w:eastAsia="仿宋_GB2312" w:cs="仿宋_GB2312"/>
          <w:color w:val="000000" w:themeColor="text1"/>
          <w:sz w:val="32"/>
          <w:szCs w:val="32"/>
          <w14:textFill>
            <w14:solidFill>
              <w14:schemeClr w14:val="tx1"/>
            </w14:solidFill>
          </w14:textFill>
        </w:rPr>
        <w:t>存在尚</w:t>
      </w:r>
      <w:r>
        <w:rPr>
          <w:rFonts w:hint="eastAsia" w:ascii="仿宋_GB2312" w:hAnsi="仿宋_GB2312" w:eastAsia="仿宋_GB2312" w:cs="仿宋_GB2312"/>
          <w:color w:val="000000" w:themeColor="text1"/>
          <w:sz w:val="32"/>
          <w:szCs w:val="32"/>
          <w14:textFill>
            <w14:solidFill>
              <w14:schemeClr w14:val="tx1"/>
            </w14:solidFill>
          </w14:textFill>
        </w:rPr>
        <w:t>未辟为参观游览区的长城点段，景区管理单位应当采取措施，防止游客攀爬景区内长城。</w:t>
      </w:r>
    </w:p>
    <w:bookmarkEnd w:id="20"/>
    <w:p w14:paraId="73A5EA1A">
      <w:pPr>
        <w:numPr>
          <w:ilvl w:val="0"/>
          <w:numId w:val="2"/>
        </w:numPr>
        <w:spacing w:before="156" w:beforeLines="50"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黑体" w:cs="黑体"/>
          <w:sz w:val="32"/>
          <w:szCs w:val="32"/>
        </w:rPr>
        <w:t>【展示场馆】</w:t>
      </w:r>
      <w:r>
        <w:rPr>
          <w:rFonts w:hint="eastAsia" w:ascii="仿宋_GB2312" w:hAnsi="仿宋_GB2312" w:eastAsia="仿宋_GB2312" w:cs="仿宋_GB2312"/>
          <w:color w:val="000000" w:themeColor="text1"/>
          <w:sz w:val="32"/>
          <w:szCs w:val="32"/>
          <w14:textFill>
            <w14:solidFill>
              <w14:schemeClr w14:val="tx1"/>
            </w14:solidFill>
          </w14:textFill>
        </w:rPr>
        <w:t>本市鼓励博物馆、美术馆等公共文化设施展示长城考古发现、建造技艺、防御体系以及历史沿革等。鼓励利用大数据、人工智能等技术，开发虚拟展示、智慧导览、沉浸式互动式体验等展示方式，宣传长城文化。</w:t>
      </w:r>
    </w:p>
    <w:p w14:paraId="4C13ABFB">
      <w:pPr>
        <w:numPr>
          <w:ilvl w:val="0"/>
          <w:numId w:val="2"/>
        </w:numPr>
        <w:spacing w:before="156" w:beforeLines="50" w:line="560" w:lineRule="exact"/>
        <w:ind w:firstLine="640" w:firstLineChars="200"/>
        <w:outlineLvl w:val="1"/>
        <w:rPr>
          <w:rFonts w:ascii="Times New Roman" w:hAnsi="Times New Roman" w:eastAsia="黑体" w:cs="黑体"/>
          <w:sz w:val="32"/>
          <w:szCs w:val="32"/>
        </w:rPr>
      </w:pPr>
      <w:r>
        <w:rPr>
          <w:rFonts w:hint="eastAsia" w:ascii="Times New Roman" w:hAnsi="Times New Roman" w:eastAsia="黑体" w:cs="黑体"/>
          <w:sz w:val="32"/>
          <w:szCs w:val="32"/>
        </w:rPr>
        <w:t>【非遗文创】</w:t>
      </w:r>
      <w:r>
        <w:rPr>
          <w:rFonts w:hint="eastAsia" w:ascii="仿宋_GB2312" w:hAnsi="仿宋_GB2312" w:eastAsia="仿宋_GB2312" w:cs="仿宋_GB2312"/>
          <w:sz w:val="32"/>
          <w:szCs w:val="32"/>
        </w:rPr>
        <w:t>本市鼓励</w:t>
      </w:r>
      <w:r>
        <w:rPr>
          <w:rFonts w:ascii="仿宋_GB2312" w:hAnsi="仿宋_GB2312" w:eastAsia="仿宋_GB2312" w:cs="仿宋_GB2312"/>
          <w:sz w:val="32"/>
          <w:szCs w:val="32"/>
        </w:rPr>
        <w:t>开展</w:t>
      </w:r>
      <w:r>
        <w:rPr>
          <w:rFonts w:hint="eastAsia" w:ascii="仿宋_GB2312" w:hAnsi="仿宋_GB2312" w:eastAsia="仿宋_GB2312" w:cs="仿宋_GB2312"/>
          <w:sz w:val="32"/>
          <w:szCs w:val="32"/>
        </w:rPr>
        <w:t>长城沿线非物质文化遗产</w:t>
      </w:r>
      <w:r>
        <w:rPr>
          <w:rFonts w:ascii="仿宋_GB2312" w:hAnsi="仿宋_GB2312" w:eastAsia="仿宋_GB2312" w:cs="仿宋_GB2312"/>
          <w:sz w:val="32"/>
          <w:szCs w:val="32"/>
        </w:rPr>
        <w:t>活化利用</w:t>
      </w:r>
      <w:r>
        <w:rPr>
          <w:rFonts w:hint="eastAsia" w:ascii="仿宋_GB2312" w:hAnsi="仿宋_GB2312" w:eastAsia="仿宋_GB2312" w:cs="仿宋_GB2312"/>
          <w:sz w:val="32"/>
          <w:szCs w:val="32"/>
        </w:rPr>
        <w:t>和展演展示，支持开发集功能性、艺术性与文化内涵于一体的具有地方特色和市场潜力的文创产品和服务。</w:t>
      </w:r>
    </w:p>
    <w:bookmarkEnd w:id="18"/>
    <w:p w14:paraId="430239E1">
      <w:pPr>
        <w:numPr>
          <w:ilvl w:val="0"/>
          <w:numId w:val="2"/>
        </w:numPr>
        <w:spacing w:before="156" w:beforeLines="50" w:line="560" w:lineRule="exact"/>
        <w:ind w:firstLine="640" w:firstLineChars="200"/>
        <w:outlineLvl w:val="1"/>
        <w:rPr>
          <w:rFonts w:ascii="Times New Roman" w:hAnsi="Times New Roman" w:eastAsia="黑体" w:cs="黑体"/>
          <w:sz w:val="32"/>
          <w:szCs w:val="32"/>
        </w:rPr>
      </w:pPr>
      <w:bookmarkStart w:id="21" w:name="_Hlk217035283"/>
      <w:r>
        <w:rPr>
          <w:rFonts w:hint="eastAsia" w:ascii="Times New Roman" w:hAnsi="Times New Roman" w:eastAsia="黑体" w:cs="黑体"/>
          <w:sz w:val="32"/>
          <w:szCs w:val="32"/>
        </w:rPr>
        <w:t>【文艺创作】</w:t>
      </w:r>
      <w:r>
        <w:rPr>
          <w:rFonts w:hint="eastAsia" w:ascii="仿宋_GB2312" w:hAnsi="仿宋_GB2312" w:eastAsia="仿宋_GB2312" w:cs="仿宋_GB2312"/>
          <w:sz w:val="32"/>
          <w:szCs w:val="32"/>
        </w:rPr>
        <w:t>鼓励以长城为主题的文学、影视、戏剧、美术、音乐等各类文艺创作，打造具有天津地域特色的长城文化艺术品牌。</w:t>
      </w:r>
    </w:p>
    <w:p w14:paraId="3222DBEB">
      <w:pPr>
        <w:numPr>
          <w:ilvl w:val="0"/>
          <w:numId w:val="2"/>
        </w:numPr>
        <w:spacing w:before="156" w:beforeLines="50" w:line="560" w:lineRule="exact"/>
        <w:ind w:firstLine="640" w:firstLineChars="200"/>
        <w:outlineLvl w:val="1"/>
        <w:rPr>
          <w:rFonts w:ascii="Times New Roman" w:hAnsi="Times New Roman" w:eastAsia="黑体" w:cs="黑体"/>
          <w:sz w:val="32"/>
          <w:szCs w:val="32"/>
        </w:rPr>
      </w:pPr>
      <w:r>
        <w:rPr>
          <w:rFonts w:hint="eastAsia" w:ascii="Times New Roman" w:hAnsi="Times New Roman" w:eastAsia="黑体" w:cs="黑体"/>
          <w:sz w:val="32"/>
          <w:szCs w:val="32"/>
        </w:rPr>
        <w:t>【民俗活动】</w:t>
      </w:r>
      <w:bookmarkEnd w:id="21"/>
      <w:r>
        <w:rPr>
          <w:rFonts w:hint="eastAsia" w:ascii="仿宋_GB2312" w:hAnsi="仿宋_GB2312" w:eastAsia="仿宋_GB2312" w:cs="仿宋_GB2312"/>
          <w:sz w:val="32"/>
          <w:szCs w:val="32"/>
        </w:rPr>
        <w:t>鼓励和支持依托重要传统节日等，组织举办传统庙会、京东民俗风情表演等传统节庆活动，鼓励有条件的景区打造实景演出。</w:t>
      </w:r>
    </w:p>
    <w:p w14:paraId="5D5C6EA6">
      <w:pPr>
        <w:numPr>
          <w:ilvl w:val="0"/>
          <w:numId w:val="2"/>
        </w:numPr>
        <w:spacing w:before="156" w:beforeLines="50" w:line="560" w:lineRule="exact"/>
        <w:ind w:firstLine="640" w:firstLineChars="200"/>
        <w:outlineLvl w:val="1"/>
        <w:rPr>
          <w:rFonts w:ascii="Times New Roman" w:hAnsi="Times New Roman" w:eastAsia="黑体" w:cs="黑体"/>
          <w:sz w:val="32"/>
          <w:szCs w:val="32"/>
        </w:rPr>
      </w:pPr>
      <w:bookmarkStart w:id="22" w:name="_Hlk217035335"/>
      <w:r>
        <w:rPr>
          <w:rFonts w:hint="eastAsia" w:ascii="Times New Roman" w:hAnsi="Times New Roman" w:eastAsia="黑体" w:cs="黑体"/>
          <w:sz w:val="32"/>
          <w:szCs w:val="32"/>
        </w:rPr>
        <w:t>【融合发展】</w:t>
      </w:r>
      <w:r>
        <w:rPr>
          <w:rFonts w:hint="eastAsia" w:ascii="仿宋_GB2312" w:hAnsi="仿宋_GB2312" w:eastAsia="仿宋_GB2312" w:cs="仿宋_GB2312"/>
          <w:sz w:val="32"/>
          <w:szCs w:val="32"/>
        </w:rPr>
        <w:t>市和蓟州区人民政府应当整合长城沿线传统文化、红色文化、自然生态、休闲农业、体育健康等资源，加强旅游基础设施建设，完善公共配套服务，打造长城主题旅游线路，培育长城文化旅游品牌，促进旅游消费，推动文商旅农体融合发展。</w:t>
      </w:r>
    </w:p>
    <w:bookmarkEnd w:id="22"/>
    <w:p w14:paraId="5AE2F555">
      <w:pPr>
        <w:numPr>
          <w:ilvl w:val="0"/>
          <w:numId w:val="2"/>
        </w:numPr>
        <w:spacing w:before="156" w:beforeLines="50" w:line="560" w:lineRule="exact"/>
        <w:ind w:firstLine="640" w:firstLineChars="200"/>
        <w:outlineLvl w:val="1"/>
        <w:rPr>
          <w:rFonts w:ascii="Times New Roman" w:hAnsi="Times New Roman" w:eastAsia="黑体" w:cs="黑体"/>
          <w:sz w:val="32"/>
          <w:szCs w:val="32"/>
        </w:rPr>
      </w:pPr>
      <w:r>
        <w:rPr>
          <w:rFonts w:hint="eastAsia" w:ascii="Times New Roman" w:hAnsi="Times New Roman" w:eastAsia="黑体" w:cs="黑体"/>
          <w:sz w:val="32"/>
          <w:szCs w:val="32"/>
        </w:rPr>
        <w:t>【执法巡查】</w:t>
      </w:r>
      <w:r>
        <w:rPr>
          <w:rFonts w:hint="eastAsia" w:ascii="仿宋_GB2312" w:hAnsi="仿宋_GB2312" w:eastAsia="仿宋_GB2312" w:cs="仿宋_GB2312"/>
          <w:sz w:val="32"/>
          <w:szCs w:val="32"/>
        </w:rPr>
        <w:t>市和蓟州区文化和旅游部门应当会同有关部门加强长城保护联合执法，依法及时查处危害长城的违法行为。</w:t>
      </w:r>
    </w:p>
    <w:p w14:paraId="2268E120">
      <w:pPr>
        <w:numPr>
          <w:ilvl w:val="0"/>
          <w:numId w:val="2"/>
        </w:numPr>
        <w:spacing w:before="156" w:beforeLines="50" w:line="560" w:lineRule="exact"/>
        <w:ind w:firstLine="640" w:firstLineChars="200"/>
        <w:outlineLvl w:val="1"/>
        <w:rPr>
          <w:rFonts w:ascii="Times New Roman" w:hAnsi="Times New Roman" w:eastAsia="黑体" w:cs="黑体"/>
          <w:sz w:val="32"/>
          <w:szCs w:val="32"/>
        </w:rPr>
      </w:pPr>
      <w:bookmarkStart w:id="23" w:name="_Hlk217035409"/>
      <w:r>
        <w:rPr>
          <w:rFonts w:hint="eastAsia" w:ascii="Times New Roman" w:hAnsi="Times New Roman" w:eastAsia="黑体" w:cs="黑体"/>
          <w:sz w:val="32"/>
          <w:szCs w:val="32"/>
        </w:rPr>
        <w:t>【举报处理】</w:t>
      </w:r>
      <w:bookmarkEnd w:id="23"/>
      <w:r>
        <w:rPr>
          <w:rFonts w:hint="eastAsia" w:ascii="仿宋_GB2312" w:hAnsi="仿宋_GB2312" w:eastAsia="仿宋_GB2312" w:cs="仿宋_GB2312"/>
          <w:sz w:val="32"/>
          <w:szCs w:val="32"/>
        </w:rPr>
        <w:t>任何单位和个人有权对破坏长城的行为进行劝阻和举报。</w:t>
      </w:r>
    </w:p>
    <w:p w14:paraId="1ECD3A90">
      <w:pPr>
        <w:spacing w:line="560" w:lineRule="exact"/>
        <w:outlineLvl w:val="1"/>
        <w:rPr>
          <w:rFonts w:ascii="Times New Roman" w:hAnsi="Times New Roman" w:eastAsia="黑体" w:cs="黑体"/>
          <w:sz w:val="32"/>
          <w:szCs w:val="32"/>
        </w:rPr>
      </w:pPr>
      <w:r>
        <w:rPr>
          <w:rFonts w:hint="eastAsia" w:ascii="仿宋_GB2312" w:hAnsi="仿宋_GB2312" w:eastAsia="仿宋_GB2312" w:cs="仿宋_GB2312"/>
          <w:sz w:val="32"/>
          <w:szCs w:val="32"/>
        </w:rPr>
        <w:t>市和蓟州区</w:t>
      </w:r>
      <w:r>
        <w:rPr>
          <w:rFonts w:ascii="仿宋_GB2312" w:hAnsi="仿宋_GB2312" w:eastAsia="仿宋_GB2312" w:cs="仿宋_GB2312"/>
          <w:sz w:val="32"/>
          <w:szCs w:val="32"/>
        </w:rPr>
        <w:t>文化和旅游</w:t>
      </w:r>
      <w:r>
        <w:rPr>
          <w:rFonts w:hint="eastAsia" w:ascii="仿宋_GB2312" w:hAnsi="仿宋_GB2312" w:eastAsia="仿宋_GB2312" w:cs="仿宋_GB2312"/>
          <w:sz w:val="32"/>
          <w:szCs w:val="32"/>
        </w:rPr>
        <w:t>部门或者其它有关部门应当及时受理并处理涉及长城保护的投诉、举报。</w:t>
      </w:r>
    </w:p>
    <w:p w14:paraId="647724CE">
      <w:pPr>
        <w:numPr>
          <w:ilvl w:val="0"/>
          <w:numId w:val="2"/>
        </w:numPr>
        <w:spacing w:before="156" w:beforeLines="50" w:line="560" w:lineRule="exact"/>
        <w:ind w:firstLine="640" w:firstLineChars="200"/>
        <w:outlineLvl w:val="1"/>
        <w:rPr>
          <w:rFonts w:ascii="Times New Roman" w:hAnsi="Times New Roman" w:eastAsia="黑体" w:cs="黑体"/>
          <w:sz w:val="32"/>
          <w:szCs w:val="32"/>
        </w:rPr>
      </w:pPr>
      <w:bookmarkStart w:id="24" w:name="_Hlk217035420"/>
      <w:r>
        <w:rPr>
          <w:rFonts w:hint="eastAsia" w:ascii="Times New Roman" w:hAnsi="Times New Roman" w:eastAsia="黑体" w:cs="黑体"/>
          <w:sz w:val="32"/>
          <w:szCs w:val="32"/>
        </w:rPr>
        <w:t>【动态监管】</w:t>
      </w:r>
      <w:bookmarkEnd w:id="24"/>
      <w:r>
        <w:rPr>
          <w:rFonts w:hint="eastAsia" w:ascii="仿宋_GB2312" w:hAnsi="仿宋_GB2312" w:eastAsia="仿宋_GB2312" w:cs="仿宋_GB2312"/>
          <w:color w:val="000000" w:themeColor="text1"/>
          <w:sz w:val="32"/>
          <w:szCs w:val="32"/>
          <w14:textFill>
            <w14:solidFill>
              <w14:schemeClr w14:val="tx1"/>
            </w14:solidFill>
          </w14:textFill>
        </w:rPr>
        <w:t>市和蓟州区人民政府应当加强长城的监测预警工作。探索利用遥感卫星、无人机、监控设施、现代通信等技术和手段，对长城和周边环境进行监测。</w:t>
      </w:r>
    </w:p>
    <w:p w14:paraId="577CBA28">
      <w:pPr>
        <w:pStyle w:val="4"/>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市和蓟州区规划资源、水务、气象、地震、消防等有关部门应当与文旅部门共享地质、水文、气象、地震、消防等灾害监测数据。市</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蓟州区</w:t>
      </w:r>
      <w:r>
        <w:rPr>
          <w:rFonts w:ascii="仿宋_GB2312" w:hAnsi="仿宋_GB2312" w:eastAsia="仿宋_GB2312" w:cs="仿宋_GB2312"/>
          <w:color w:val="000000" w:themeColor="text1"/>
          <w:sz w:val="32"/>
          <w:szCs w:val="32"/>
          <w14:textFill>
            <w14:solidFill>
              <w14:schemeClr w14:val="tx1"/>
            </w14:solidFill>
          </w14:textFill>
        </w:rPr>
        <w:t>文化和旅游</w:t>
      </w:r>
      <w:r>
        <w:rPr>
          <w:rFonts w:hint="eastAsia" w:ascii="仿宋_GB2312" w:hAnsi="仿宋_GB2312" w:eastAsia="仿宋_GB2312" w:cs="仿宋_GB2312"/>
          <w:color w:val="000000" w:themeColor="text1"/>
          <w:sz w:val="32"/>
          <w:szCs w:val="32"/>
          <w14:textFill>
            <w14:solidFill>
              <w14:schemeClr w14:val="tx1"/>
            </w14:solidFill>
          </w14:textFill>
        </w:rPr>
        <w:t>部门应当会同有关部门科学研判灾情趋势和风险，对面临自然灾害威胁的长城点段加强风险管控与应急预警。</w:t>
      </w:r>
    </w:p>
    <w:p w14:paraId="536FFC8F">
      <w:pPr>
        <w:numPr>
          <w:ilvl w:val="0"/>
          <w:numId w:val="2"/>
        </w:numPr>
        <w:spacing w:before="156" w:beforeLines="50" w:line="560" w:lineRule="exact"/>
        <w:ind w:firstLine="640" w:firstLineChars="200"/>
        <w:outlineLvl w:val="1"/>
        <w:rPr>
          <w:rFonts w:ascii="Times New Roman" w:hAnsi="Times New Roman" w:eastAsia="黑体" w:cs="黑体"/>
        </w:rPr>
      </w:pPr>
      <w:r>
        <w:rPr>
          <w:rFonts w:hint="eastAsia" w:ascii="Times New Roman" w:hAnsi="Times New Roman" w:eastAsia="黑体" w:cs="黑体"/>
          <w:sz w:val="32"/>
          <w:szCs w:val="32"/>
        </w:rPr>
        <w:t>【从其规定】</w:t>
      </w:r>
      <w:r>
        <w:rPr>
          <w:rFonts w:hint="eastAsia" w:ascii="仿宋_GB2312" w:hAnsi="仿宋_GB2312" w:eastAsia="仿宋_GB2312" w:cs="仿宋_GB2312"/>
          <w:sz w:val="32"/>
          <w:szCs w:val="32"/>
        </w:rPr>
        <w:t>违反本条例规定，法律、行政法规已有处理规定的，从其规定。</w:t>
      </w:r>
    </w:p>
    <w:p w14:paraId="6B1D247D">
      <w:pPr>
        <w:numPr>
          <w:ilvl w:val="0"/>
          <w:numId w:val="2"/>
        </w:numPr>
        <w:spacing w:before="156" w:beforeLines="50" w:line="560" w:lineRule="exact"/>
        <w:ind w:firstLine="640" w:firstLineChars="200"/>
        <w:outlineLvl w:val="1"/>
        <w:rPr>
          <w:rFonts w:hint="eastAsia" w:ascii="黑体" w:hAnsi="黑体" w:eastAsia="黑体" w:cs="黑体"/>
          <w:sz w:val="32"/>
          <w:szCs w:val="32"/>
        </w:rPr>
      </w:pPr>
      <w:bookmarkStart w:id="25" w:name="_Toc26650_WPSOffice_Level1"/>
      <w:r>
        <w:rPr>
          <w:rFonts w:hint="eastAsia" w:ascii="仿宋_GB2312" w:hAnsi="仿宋_GB2312" w:eastAsia="仿宋_GB2312" w:cs="仿宋_GB2312"/>
          <w:sz w:val="32"/>
          <w:szCs w:val="32"/>
        </w:rPr>
        <w:t>本条例自   年 月 日起施行。</w:t>
      </w:r>
      <w:bookmarkEnd w:id="25"/>
    </w:p>
    <w:sectPr>
      <w:footerReference r:id="rId4" w:type="first"/>
      <w:footerReference r:id="rId3" w:type="default"/>
      <w:pgSz w:w="11906" w:h="16838"/>
      <w:pgMar w:top="1440" w:right="1274" w:bottom="1440" w:left="1418"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AEC89">
    <w:pPr>
      <w:pStyle w:val="17"/>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5185"/>
                          </w:sdtPr>
                          <w:sdtEndPr>
                            <w:rPr>
                              <w:sz w:val="24"/>
                              <w:szCs w:val="24"/>
                            </w:rPr>
                          </w:sdtEndPr>
                          <w:sdtContent>
                            <w:p w14:paraId="64753D70">
                              <w:pPr>
                                <w:pStyle w:val="17"/>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41</w:t>
                              </w:r>
                              <w:r>
                                <w:rPr>
                                  <w:sz w:val="24"/>
                                  <w:szCs w:val="24"/>
                                </w:rPr>
                                <w:fldChar w:fldCharType="end"/>
                              </w:r>
                            </w:p>
                          </w:sdtContent>
                        </w:sdt>
                        <w:p w14:paraId="2210BD70">
                          <w:pPr>
                            <w:rPr>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id w:val="147475185"/>
                    </w:sdtPr>
                    <w:sdtEndPr>
                      <w:rPr>
                        <w:sz w:val="24"/>
                        <w:szCs w:val="24"/>
                      </w:rPr>
                    </w:sdtEndPr>
                    <w:sdtContent>
                      <w:p w14:paraId="64753D70">
                        <w:pPr>
                          <w:pStyle w:val="17"/>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41</w:t>
                        </w:r>
                        <w:r>
                          <w:rPr>
                            <w:sz w:val="24"/>
                            <w:szCs w:val="24"/>
                          </w:rPr>
                          <w:fldChar w:fldCharType="end"/>
                        </w:r>
                      </w:p>
                    </w:sdtContent>
                  </w:sdt>
                  <w:p w14:paraId="2210BD70">
                    <w:pPr>
                      <w:rPr>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1B060">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59D162">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F59D162">
                    <w:pPr>
                      <w:pStyle w:val="17"/>
                    </w:pPr>
                    <w:r>
                      <w:fldChar w:fldCharType="begin"/>
                    </w:r>
                    <w:r>
                      <w:instrText xml:space="preserve"> PAGE  \* MERGEFORMAT </w:instrText>
                    </w:r>
                    <w:r>
                      <w:fldChar w:fldCharType="separate"/>
                    </w:r>
                    <w:r>
                      <w:t>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CF19D"/>
    <w:multiLevelType w:val="singleLevel"/>
    <w:tmpl w:val="934CF19D"/>
    <w:lvl w:ilvl="0" w:tentative="0">
      <w:start w:val="1"/>
      <w:numFmt w:val="chineseCounting"/>
      <w:suff w:val="space"/>
      <w:lvlText w:val="第%1条"/>
      <w:lvlJc w:val="left"/>
      <w:rPr>
        <w:rFonts w:hint="eastAsia" w:eastAsia="黑体"/>
        <w:sz w:val="32"/>
        <w:szCs w:val="32"/>
      </w:rPr>
    </w:lvl>
  </w:abstractNum>
  <w:abstractNum w:abstractNumId="1">
    <w:nsid w:val="C2F2BE44"/>
    <w:multiLevelType w:val="multilevel"/>
    <w:tmpl w:val="C2F2BE44"/>
    <w:lvl w:ilvl="0" w:tentative="0">
      <w:start w:val="1"/>
      <w:numFmt w:val="chineseCounting"/>
      <w:pStyle w:val="2"/>
      <w:suff w:val="nothing"/>
      <w:lvlText w:val="%1、"/>
      <w:lvlJc w:val="left"/>
      <w:pPr>
        <w:tabs>
          <w:tab w:val="left" w:pos="0"/>
        </w:tabs>
        <w:ind w:left="0" w:firstLine="0"/>
      </w:pPr>
      <w:rPr>
        <w:rFonts w:hint="eastAsia" w:ascii="黑体" w:hAnsi="黑体" w:eastAsia="黑体"/>
      </w:rPr>
    </w:lvl>
    <w:lvl w:ilvl="1" w:tentative="0">
      <w:start w:val="1"/>
      <w:numFmt w:val="chineseCounting"/>
      <w:pStyle w:val="3"/>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3．"/>
      <w:lvlJc w:val="left"/>
      <w:pPr>
        <w:tabs>
          <w:tab w:val="left" w:pos="0"/>
        </w:tabs>
        <w:ind w:left="0" w:firstLine="400"/>
      </w:pPr>
      <w:rPr>
        <w:rFonts w:hint="eastAsia" w:ascii="黑体" w:hAnsi="黑体" w:eastAsia="黑体"/>
      </w:rPr>
    </w:lvl>
    <w:lvl w:ilvl="3" w:tentative="0">
      <w:start w:val="1"/>
      <w:numFmt w:val="decimal"/>
      <w:pStyle w:val="6"/>
      <w:suff w:val="nothing"/>
      <w:lvlText w:val="（%4）"/>
      <w:lvlJc w:val="left"/>
      <w:pPr>
        <w:tabs>
          <w:tab w:val="left" w:pos="0"/>
        </w:tabs>
        <w:ind w:left="0" w:firstLine="402"/>
      </w:pPr>
      <w:rPr>
        <w:rFonts w:hint="eastAsia" w:ascii="黑体" w:hAnsi="黑体" w:eastAsia="黑体"/>
      </w:rPr>
    </w:lvl>
    <w:lvl w:ilvl="4" w:tentative="0">
      <w:start w:val="1"/>
      <w:numFmt w:val="decimalEnclosedCircleChinese"/>
      <w:pStyle w:val="7"/>
      <w:suff w:val="nothing"/>
      <w:lvlText w:val="%5"/>
      <w:lvlJc w:val="left"/>
      <w:pPr>
        <w:tabs>
          <w:tab w:val="left" w:pos="0"/>
        </w:tabs>
        <w:ind w:left="0" w:firstLine="402"/>
      </w:pPr>
      <w:rPr>
        <w:rFonts w:hint="eastAsia" w:ascii="黑体" w:hAnsi="黑体" w:eastAsia="黑体"/>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0D4C43"/>
    <w:rsid w:val="0000441E"/>
    <w:rsid w:val="0000478C"/>
    <w:rsid w:val="000067F7"/>
    <w:rsid w:val="00007E2F"/>
    <w:rsid w:val="0001018B"/>
    <w:rsid w:val="00011CA9"/>
    <w:rsid w:val="00020FC0"/>
    <w:rsid w:val="0002239B"/>
    <w:rsid w:val="00030E94"/>
    <w:rsid w:val="00033DA7"/>
    <w:rsid w:val="000349FB"/>
    <w:rsid w:val="00037B66"/>
    <w:rsid w:val="00042D09"/>
    <w:rsid w:val="0004516F"/>
    <w:rsid w:val="00046E27"/>
    <w:rsid w:val="00053761"/>
    <w:rsid w:val="0005579E"/>
    <w:rsid w:val="00057E84"/>
    <w:rsid w:val="00062424"/>
    <w:rsid w:val="000632BA"/>
    <w:rsid w:val="0006449A"/>
    <w:rsid w:val="00067765"/>
    <w:rsid w:val="00081B53"/>
    <w:rsid w:val="00083811"/>
    <w:rsid w:val="0008701C"/>
    <w:rsid w:val="0009243E"/>
    <w:rsid w:val="00096692"/>
    <w:rsid w:val="000970AE"/>
    <w:rsid w:val="000A112B"/>
    <w:rsid w:val="000A118C"/>
    <w:rsid w:val="000A48AE"/>
    <w:rsid w:val="000B1CE9"/>
    <w:rsid w:val="000B452A"/>
    <w:rsid w:val="000B5924"/>
    <w:rsid w:val="000B73DB"/>
    <w:rsid w:val="000B7E42"/>
    <w:rsid w:val="000D1A8F"/>
    <w:rsid w:val="000D1B30"/>
    <w:rsid w:val="000D45CA"/>
    <w:rsid w:val="000E1188"/>
    <w:rsid w:val="000E183F"/>
    <w:rsid w:val="000E2A3C"/>
    <w:rsid w:val="000F1862"/>
    <w:rsid w:val="0010176B"/>
    <w:rsid w:val="0010687E"/>
    <w:rsid w:val="00115DF2"/>
    <w:rsid w:val="00116094"/>
    <w:rsid w:val="00121829"/>
    <w:rsid w:val="00122B14"/>
    <w:rsid w:val="00123690"/>
    <w:rsid w:val="0012565B"/>
    <w:rsid w:val="0012704D"/>
    <w:rsid w:val="0013257E"/>
    <w:rsid w:val="00135F06"/>
    <w:rsid w:val="001454FD"/>
    <w:rsid w:val="0015468C"/>
    <w:rsid w:val="00162DB6"/>
    <w:rsid w:val="00170644"/>
    <w:rsid w:val="001718A4"/>
    <w:rsid w:val="00174C02"/>
    <w:rsid w:val="00193328"/>
    <w:rsid w:val="001A2B26"/>
    <w:rsid w:val="001A3563"/>
    <w:rsid w:val="001A72EA"/>
    <w:rsid w:val="001B1B38"/>
    <w:rsid w:val="001B2CB1"/>
    <w:rsid w:val="001C0629"/>
    <w:rsid w:val="001C2363"/>
    <w:rsid w:val="001D0495"/>
    <w:rsid w:val="001D2FE3"/>
    <w:rsid w:val="001E40BC"/>
    <w:rsid w:val="001F3B53"/>
    <w:rsid w:val="001F589B"/>
    <w:rsid w:val="001F5DEF"/>
    <w:rsid w:val="00203366"/>
    <w:rsid w:val="0021509D"/>
    <w:rsid w:val="002152BC"/>
    <w:rsid w:val="002166F6"/>
    <w:rsid w:val="00220964"/>
    <w:rsid w:val="00221F09"/>
    <w:rsid w:val="002224CB"/>
    <w:rsid w:val="00230AEF"/>
    <w:rsid w:val="00232EED"/>
    <w:rsid w:val="00233063"/>
    <w:rsid w:val="00236AF2"/>
    <w:rsid w:val="00236E43"/>
    <w:rsid w:val="0024594D"/>
    <w:rsid w:val="002514D5"/>
    <w:rsid w:val="00252530"/>
    <w:rsid w:val="00272443"/>
    <w:rsid w:val="00275507"/>
    <w:rsid w:val="00277EF5"/>
    <w:rsid w:val="0028557E"/>
    <w:rsid w:val="00287242"/>
    <w:rsid w:val="00293053"/>
    <w:rsid w:val="002B0A31"/>
    <w:rsid w:val="002B6132"/>
    <w:rsid w:val="002B694B"/>
    <w:rsid w:val="002D18AE"/>
    <w:rsid w:val="002D1BFB"/>
    <w:rsid w:val="002D3DD0"/>
    <w:rsid w:val="002D4C3F"/>
    <w:rsid w:val="002D562A"/>
    <w:rsid w:val="002E2717"/>
    <w:rsid w:val="002E3819"/>
    <w:rsid w:val="002E4C9B"/>
    <w:rsid w:val="00300460"/>
    <w:rsid w:val="00301F74"/>
    <w:rsid w:val="00312BFD"/>
    <w:rsid w:val="00315B31"/>
    <w:rsid w:val="00315DA9"/>
    <w:rsid w:val="00320DAD"/>
    <w:rsid w:val="0032517B"/>
    <w:rsid w:val="003314F6"/>
    <w:rsid w:val="00332EDE"/>
    <w:rsid w:val="0033542D"/>
    <w:rsid w:val="00355A77"/>
    <w:rsid w:val="003574A5"/>
    <w:rsid w:val="00370543"/>
    <w:rsid w:val="00380908"/>
    <w:rsid w:val="00380DA5"/>
    <w:rsid w:val="00381665"/>
    <w:rsid w:val="003952E6"/>
    <w:rsid w:val="003A2895"/>
    <w:rsid w:val="003A5F12"/>
    <w:rsid w:val="003A6114"/>
    <w:rsid w:val="003B1FCC"/>
    <w:rsid w:val="003B2BB5"/>
    <w:rsid w:val="003B3F21"/>
    <w:rsid w:val="003C01F4"/>
    <w:rsid w:val="003C15FC"/>
    <w:rsid w:val="003C54FF"/>
    <w:rsid w:val="003C6FA6"/>
    <w:rsid w:val="003E4305"/>
    <w:rsid w:val="003F5487"/>
    <w:rsid w:val="004106F1"/>
    <w:rsid w:val="00416D6D"/>
    <w:rsid w:val="004347C7"/>
    <w:rsid w:val="00437FB3"/>
    <w:rsid w:val="00452212"/>
    <w:rsid w:val="00452CC6"/>
    <w:rsid w:val="0045304E"/>
    <w:rsid w:val="00456585"/>
    <w:rsid w:val="0046014C"/>
    <w:rsid w:val="00460466"/>
    <w:rsid w:val="00464C81"/>
    <w:rsid w:val="00472015"/>
    <w:rsid w:val="00472C43"/>
    <w:rsid w:val="004762E9"/>
    <w:rsid w:val="004912E1"/>
    <w:rsid w:val="00493D20"/>
    <w:rsid w:val="00497295"/>
    <w:rsid w:val="004A51A1"/>
    <w:rsid w:val="004B59C2"/>
    <w:rsid w:val="004C4F13"/>
    <w:rsid w:val="004C5170"/>
    <w:rsid w:val="004C5931"/>
    <w:rsid w:val="004C7D19"/>
    <w:rsid w:val="004D1A3F"/>
    <w:rsid w:val="004D6DAF"/>
    <w:rsid w:val="004E04E7"/>
    <w:rsid w:val="004E2EF2"/>
    <w:rsid w:val="004E4858"/>
    <w:rsid w:val="00500B60"/>
    <w:rsid w:val="00510F75"/>
    <w:rsid w:val="00511D56"/>
    <w:rsid w:val="005120B2"/>
    <w:rsid w:val="005125EC"/>
    <w:rsid w:val="00513F90"/>
    <w:rsid w:val="00517368"/>
    <w:rsid w:val="00517594"/>
    <w:rsid w:val="005176F6"/>
    <w:rsid w:val="005177A8"/>
    <w:rsid w:val="00522563"/>
    <w:rsid w:val="00525D58"/>
    <w:rsid w:val="00526D1D"/>
    <w:rsid w:val="00527524"/>
    <w:rsid w:val="00531DFE"/>
    <w:rsid w:val="00543ED0"/>
    <w:rsid w:val="00565CBC"/>
    <w:rsid w:val="00570A1B"/>
    <w:rsid w:val="0058777F"/>
    <w:rsid w:val="005953AE"/>
    <w:rsid w:val="005A1099"/>
    <w:rsid w:val="005A36DF"/>
    <w:rsid w:val="005A656E"/>
    <w:rsid w:val="005A6738"/>
    <w:rsid w:val="005B0735"/>
    <w:rsid w:val="005B7784"/>
    <w:rsid w:val="005B779A"/>
    <w:rsid w:val="005C2826"/>
    <w:rsid w:val="005C4F6B"/>
    <w:rsid w:val="005D4182"/>
    <w:rsid w:val="005D4873"/>
    <w:rsid w:val="005D69F9"/>
    <w:rsid w:val="005E1504"/>
    <w:rsid w:val="005F3DB1"/>
    <w:rsid w:val="00604191"/>
    <w:rsid w:val="00604B3B"/>
    <w:rsid w:val="00605730"/>
    <w:rsid w:val="006067ED"/>
    <w:rsid w:val="006068CE"/>
    <w:rsid w:val="006155D0"/>
    <w:rsid w:val="0062508D"/>
    <w:rsid w:val="0063226C"/>
    <w:rsid w:val="006353F7"/>
    <w:rsid w:val="006354BB"/>
    <w:rsid w:val="00635F55"/>
    <w:rsid w:val="00640ED1"/>
    <w:rsid w:val="00641F2A"/>
    <w:rsid w:val="00646272"/>
    <w:rsid w:val="00647951"/>
    <w:rsid w:val="00673283"/>
    <w:rsid w:val="006775F8"/>
    <w:rsid w:val="006915BE"/>
    <w:rsid w:val="00697217"/>
    <w:rsid w:val="006B1910"/>
    <w:rsid w:val="006B1BCB"/>
    <w:rsid w:val="006B32B6"/>
    <w:rsid w:val="006B4BC3"/>
    <w:rsid w:val="006B5192"/>
    <w:rsid w:val="006B68FB"/>
    <w:rsid w:val="006C0E58"/>
    <w:rsid w:val="006C2FE7"/>
    <w:rsid w:val="006C5287"/>
    <w:rsid w:val="006C6470"/>
    <w:rsid w:val="006D260B"/>
    <w:rsid w:val="006D3F5B"/>
    <w:rsid w:val="006E0EBB"/>
    <w:rsid w:val="006E6FBA"/>
    <w:rsid w:val="006F78D5"/>
    <w:rsid w:val="00701E31"/>
    <w:rsid w:val="00711E5E"/>
    <w:rsid w:val="00714532"/>
    <w:rsid w:val="007148C9"/>
    <w:rsid w:val="0071580E"/>
    <w:rsid w:val="00715F47"/>
    <w:rsid w:val="00720174"/>
    <w:rsid w:val="007209D8"/>
    <w:rsid w:val="00721062"/>
    <w:rsid w:val="00723DD6"/>
    <w:rsid w:val="0072565D"/>
    <w:rsid w:val="00741746"/>
    <w:rsid w:val="00743B9C"/>
    <w:rsid w:val="00746769"/>
    <w:rsid w:val="00746F94"/>
    <w:rsid w:val="007477BE"/>
    <w:rsid w:val="00756740"/>
    <w:rsid w:val="00761C75"/>
    <w:rsid w:val="00770394"/>
    <w:rsid w:val="00772F83"/>
    <w:rsid w:val="00776759"/>
    <w:rsid w:val="00781E67"/>
    <w:rsid w:val="007A146B"/>
    <w:rsid w:val="007A36F8"/>
    <w:rsid w:val="007A4B37"/>
    <w:rsid w:val="007B43FA"/>
    <w:rsid w:val="007B73F4"/>
    <w:rsid w:val="007C682E"/>
    <w:rsid w:val="007D5683"/>
    <w:rsid w:val="007E07C8"/>
    <w:rsid w:val="007E6680"/>
    <w:rsid w:val="007F0554"/>
    <w:rsid w:val="007F5705"/>
    <w:rsid w:val="007F7F14"/>
    <w:rsid w:val="0080201C"/>
    <w:rsid w:val="008120CD"/>
    <w:rsid w:val="008231E5"/>
    <w:rsid w:val="008235CF"/>
    <w:rsid w:val="00831C1D"/>
    <w:rsid w:val="00845DAA"/>
    <w:rsid w:val="00851748"/>
    <w:rsid w:val="008553E6"/>
    <w:rsid w:val="00856B1D"/>
    <w:rsid w:val="0088682A"/>
    <w:rsid w:val="0088715C"/>
    <w:rsid w:val="008932C7"/>
    <w:rsid w:val="0089388F"/>
    <w:rsid w:val="008A0F31"/>
    <w:rsid w:val="008A1E1E"/>
    <w:rsid w:val="008A4242"/>
    <w:rsid w:val="008B3089"/>
    <w:rsid w:val="008B3657"/>
    <w:rsid w:val="008B437D"/>
    <w:rsid w:val="008B7983"/>
    <w:rsid w:val="008C09B7"/>
    <w:rsid w:val="008C268B"/>
    <w:rsid w:val="008D05FC"/>
    <w:rsid w:val="008D7EE0"/>
    <w:rsid w:val="008E5B18"/>
    <w:rsid w:val="008E7E42"/>
    <w:rsid w:val="008F13A2"/>
    <w:rsid w:val="008F64FD"/>
    <w:rsid w:val="009124F7"/>
    <w:rsid w:val="0092477C"/>
    <w:rsid w:val="00927813"/>
    <w:rsid w:val="0093752F"/>
    <w:rsid w:val="0094190F"/>
    <w:rsid w:val="00944587"/>
    <w:rsid w:val="0094759A"/>
    <w:rsid w:val="00960F24"/>
    <w:rsid w:val="00963D97"/>
    <w:rsid w:val="00965321"/>
    <w:rsid w:val="0099063C"/>
    <w:rsid w:val="009920A7"/>
    <w:rsid w:val="00993CA0"/>
    <w:rsid w:val="009979A5"/>
    <w:rsid w:val="009A31C9"/>
    <w:rsid w:val="009A460C"/>
    <w:rsid w:val="009A72E4"/>
    <w:rsid w:val="009B0F7A"/>
    <w:rsid w:val="009B2667"/>
    <w:rsid w:val="009B645E"/>
    <w:rsid w:val="009B7183"/>
    <w:rsid w:val="009C09D4"/>
    <w:rsid w:val="009C3686"/>
    <w:rsid w:val="009D1C7E"/>
    <w:rsid w:val="009D38AD"/>
    <w:rsid w:val="009D38DD"/>
    <w:rsid w:val="009D677B"/>
    <w:rsid w:val="009D693A"/>
    <w:rsid w:val="009E2353"/>
    <w:rsid w:val="009E526F"/>
    <w:rsid w:val="009F030D"/>
    <w:rsid w:val="009F4640"/>
    <w:rsid w:val="009F5A77"/>
    <w:rsid w:val="009F6F8A"/>
    <w:rsid w:val="009F7541"/>
    <w:rsid w:val="00A02087"/>
    <w:rsid w:val="00A062E2"/>
    <w:rsid w:val="00A248C5"/>
    <w:rsid w:val="00A319B7"/>
    <w:rsid w:val="00A40979"/>
    <w:rsid w:val="00A40B0D"/>
    <w:rsid w:val="00A45EF6"/>
    <w:rsid w:val="00A4607A"/>
    <w:rsid w:val="00A46966"/>
    <w:rsid w:val="00A50CAA"/>
    <w:rsid w:val="00A57CEB"/>
    <w:rsid w:val="00A606BC"/>
    <w:rsid w:val="00A60BCF"/>
    <w:rsid w:val="00A62C5E"/>
    <w:rsid w:val="00A62DE7"/>
    <w:rsid w:val="00A632FD"/>
    <w:rsid w:val="00A72B00"/>
    <w:rsid w:val="00A74A8A"/>
    <w:rsid w:val="00A74AE4"/>
    <w:rsid w:val="00A85B1B"/>
    <w:rsid w:val="00A922E8"/>
    <w:rsid w:val="00A94005"/>
    <w:rsid w:val="00AA120D"/>
    <w:rsid w:val="00AA3A4B"/>
    <w:rsid w:val="00AB3A86"/>
    <w:rsid w:val="00AB726E"/>
    <w:rsid w:val="00AC026E"/>
    <w:rsid w:val="00AC0BAD"/>
    <w:rsid w:val="00AC70F3"/>
    <w:rsid w:val="00AD0981"/>
    <w:rsid w:val="00AD1195"/>
    <w:rsid w:val="00AD2503"/>
    <w:rsid w:val="00AE4177"/>
    <w:rsid w:val="00AF4F47"/>
    <w:rsid w:val="00AF5083"/>
    <w:rsid w:val="00B015BA"/>
    <w:rsid w:val="00B0376F"/>
    <w:rsid w:val="00B073F1"/>
    <w:rsid w:val="00B10AD8"/>
    <w:rsid w:val="00B12A9D"/>
    <w:rsid w:val="00B171C5"/>
    <w:rsid w:val="00B213D2"/>
    <w:rsid w:val="00B221F5"/>
    <w:rsid w:val="00B251E1"/>
    <w:rsid w:val="00B2659C"/>
    <w:rsid w:val="00B3294D"/>
    <w:rsid w:val="00B44896"/>
    <w:rsid w:val="00B454D5"/>
    <w:rsid w:val="00B46A26"/>
    <w:rsid w:val="00B50FB2"/>
    <w:rsid w:val="00B6602C"/>
    <w:rsid w:val="00B734B5"/>
    <w:rsid w:val="00B747BD"/>
    <w:rsid w:val="00B7506E"/>
    <w:rsid w:val="00B7580C"/>
    <w:rsid w:val="00B8115D"/>
    <w:rsid w:val="00B8556A"/>
    <w:rsid w:val="00B86CE0"/>
    <w:rsid w:val="00B90621"/>
    <w:rsid w:val="00B96281"/>
    <w:rsid w:val="00BA0A05"/>
    <w:rsid w:val="00BA2E00"/>
    <w:rsid w:val="00BA408F"/>
    <w:rsid w:val="00BB6797"/>
    <w:rsid w:val="00BB77BB"/>
    <w:rsid w:val="00BC26BA"/>
    <w:rsid w:val="00BC3690"/>
    <w:rsid w:val="00BC3E4F"/>
    <w:rsid w:val="00BC6F33"/>
    <w:rsid w:val="00BD1562"/>
    <w:rsid w:val="00BD7795"/>
    <w:rsid w:val="00BE1A46"/>
    <w:rsid w:val="00BE55DC"/>
    <w:rsid w:val="00BF241E"/>
    <w:rsid w:val="00C12CCC"/>
    <w:rsid w:val="00C23DCB"/>
    <w:rsid w:val="00C24BA5"/>
    <w:rsid w:val="00C25C8C"/>
    <w:rsid w:val="00C47795"/>
    <w:rsid w:val="00C5418F"/>
    <w:rsid w:val="00C5548A"/>
    <w:rsid w:val="00C56610"/>
    <w:rsid w:val="00C57071"/>
    <w:rsid w:val="00C57BEB"/>
    <w:rsid w:val="00C64339"/>
    <w:rsid w:val="00C66290"/>
    <w:rsid w:val="00C707A8"/>
    <w:rsid w:val="00C70D1D"/>
    <w:rsid w:val="00C7191D"/>
    <w:rsid w:val="00C7461A"/>
    <w:rsid w:val="00C93BA9"/>
    <w:rsid w:val="00CA1D1D"/>
    <w:rsid w:val="00CA737B"/>
    <w:rsid w:val="00CB4BD1"/>
    <w:rsid w:val="00CC254E"/>
    <w:rsid w:val="00CC421C"/>
    <w:rsid w:val="00CE2F38"/>
    <w:rsid w:val="00CE3464"/>
    <w:rsid w:val="00CE3761"/>
    <w:rsid w:val="00CE548D"/>
    <w:rsid w:val="00CE6372"/>
    <w:rsid w:val="00CF0BB1"/>
    <w:rsid w:val="00CF1FDD"/>
    <w:rsid w:val="00CF7621"/>
    <w:rsid w:val="00D01CF9"/>
    <w:rsid w:val="00D05B5C"/>
    <w:rsid w:val="00D10476"/>
    <w:rsid w:val="00D15146"/>
    <w:rsid w:val="00D15DCA"/>
    <w:rsid w:val="00D27C50"/>
    <w:rsid w:val="00D335B4"/>
    <w:rsid w:val="00D35E57"/>
    <w:rsid w:val="00D364DD"/>
    <w:rsid w:val="00D3772A"/>
    <w:rsid w:val="00D3792B"/>
    <w:rsid w:val="00D4017C"/>
    <w:rsid w:val="00D53044"/>
    <w:rsid w:val="00D53667"/>
    <w:rsid w:val="00D552C8"/>
    <w:rsid w:val="00D60181"/>
    <w:rsid w:val="00D6266C"/>
    <w:rsid w:val="00D72E95"/>
    <w:rsid w:val="00D77341"/>
    <w:rsid w:val="00D92DCE"/>
    <w:rsid w:val="00D961E0"/>
    <w:rsid w:val="00DA1D1C"/>
    <w:rsid w:val="00DA1E2B"/>
    <w:rsid w:val="00DA1EC9"/>
    <w:rsid w:val="00DA2F27"/>
    <w:rsid w:val="00DA3ED3"/>
    <w:rsid w:val="00DA5E01"/>
    <w:rsid w:val="00DB3503"/>
    <w:rsid w:val="00DB5736"/>
    <w:rsid w:val="00DB7A77"/>
    <w:rsid w:val="00DC1DC9"/>
    <w:rsid w:val="00DC336D"/>
    <w:rsid w:val="00DC58F3"/>
    <w:rsid w:val="00DD3C26"/>
    <w:rsid w:val="00DD629A"/>
    <w:rsid w:val="00DD6913"/>
    <w:rsid w:val="00DE215E"/>
    <w:rsid w:val="00DF1BF9"/>
    <w:rsid w:val="00DF71F1"/>
    <w:rsid w:val="00DF732E"/>
    <w:rsid w:val="00E00384"/>
    <w:rsid w:val="00E02BF7"/>
    <w:rsid w:val="00E0308A"/>
    <w:rsid w:val="00E06157"/>
    <w:rsid w:val="00E07786"/>
    <w:rsid w:val="00E1599F"/>
    <w:rsid w:val="00E300D9"/>
    <w:rsid w:val="00E340E4"/>
    <w:rsid w:val="00E35DF5"/>
    <w:rsid w:val="00E40614"/>
    <w:rsid w:val="00E41336"/>
    <w:rsid w:val="00E421BA"/>
    <w:rsid w:val="00E438D2"/>
    <w:rsid w:val="00E457FC"/>
    <w:rsid w:val="00E5721E"/>
    <w:rsid w:val="00E57F53"/>
    <w:rsid w:val="00E63409"/>
    <w:rsid w:val="00E6455D"/>
    <w:rsid w:val="00E64D35"/>
    <w:rsid w:val="00E6575F"/>
    <w:rsid w:val="00E77AA3"/>
    <w:rsid w:val="00E9254D"/>
    <w:rsid w:val="00E936A2"/>
    <w:rsid w:val="00E965BB"/>
    <w:rsid w:val="00EA0CD5"/>
    <w:rsid w:val="00EA137A"/>
    <w:rsid w:val="00EA55CC"/>
    <w:rsid w:val="00EB3C56"/>
    <w:rsid w:val="00EB7537"/>
    <w:rsid w:val="00EC0429"/>
    <w:rsid w:val="00EC1CD4"/>
    <w:rsid w:val="00EC39CE"/>
    <w:rsid w:val="00EE03DD"/>
    <w:rsid w:val="00EE1AF5"/>
    <w:rsid w:val="00EE346E"/>
    <w:rsid w:val="00EE39DF"/>
    <w:rsid w:val="00EF3BD6"/>
    <w:rsid w:val="00EF4E2A"/>
    <w:rsid w:val="00EF5AFB"/>
    <w:rsid w:val="00F00F43"/>
    <w:rsid w:val="00F0438D"/>
    <w:rsid w:val="00F17AE1"/>
    <w:rsid w:val="00F20D64"/>
    <w:rsid w:val="00F21059"/>
    <w:rsid w:val="00F21F2E"/>
    <w:rsid w:val="00F23B5F"/>
    <w:rsid w:val="00F25425"/>
    <w:rsid w:val="00F26772"/>
    <w:rsid w:val="00F27107"/>
    <w:rsid w:val="00F2776A"/>
    <w:rsid w:val="00F302A6"/>
    <w:rsid w:val="00F31E0C"/>
    <w:rsid w:val="00F41257"/>
    <w:rsid w:val="00F421D7"/>
    <w:rsid w:val="00F4419E"/>
    <w:rsid w:val="00F44F37"/>
    <w:rsid w:val="00F4608B"/>
    <w:rsid w:val="00F5198D"/>
    <w:rsid w:val="00F53219"/>
    <w:rsid w:val="00F56A5B"/>
    <w:rsid w:val="00F602F2"/>
    <w:rsid w:val="00F60FC7"/>
    <w:rsid w:val="00F63A1D"/>
    <w:rsid w:val="00F72EEA"/>
    <w:rsid w:val="00F737FC"/>
    <w:rsid w:val="00F829A5"/>
    <w:rsid w:val="00F82DFA"/>
    <w:rsid w:val="00F84AFC"/>
    <w:rsid w:val="00F94DC4"/>
    <w:rsid w:val="00F97468"/>
    <w:rsid w:val="00FA089B"/>
    <w:rsid w:val="00FA6B51"/>
    <w:rsid w:val="00FB1274"/>
    <w:rsid w:val="00FB4BC0"/>
    <w:rsid w:val="00FB6DF3"/>
    <w:rsid w:val="00FC131E"/>
    <w:rsid w:val="00FC17AA"/>
    <w:rsid w:val="00FC3ACF"/>
    <w:rsid w:val="00FC7405"/>
    <w:rsid w:val="00FD41CF"/>
    <w:rsid w:val="00FD475C"/>
    <w:rsid w:val="00FD6DCF"/>
    <w:rsid w:val="00FF28BF"/>
    <w:rsid w:val="02BE02F9"/>
    <w:rsid w:val="05242EF1"/>
    <w:rsid w:val="05E5583B"/>
    <w:rsid w:val="07782962"/>
    <w:rsid w:val="097324B9"/>
    <w:rsid w:val="09B2659B"/>
    <w:rsid w:val="0A4B6E1E"/>
    <w:rsid w:val="0AC3761A"/>
    <w:rsid w:val="0B0D4C43"/>
    <w:rsid w:val="0C1C281E"/>
    <w:rsid w:val="0D225820"/>
    <w:rsid w:val="0F794FF3"/>
    <w:rsid w:val="0F85231F"/>
    <w:rsid w:val="12664513"/>
    <w:rsid w:val="12A271DE"/>
    <w:rsid w:val="17454108"/>
    <w:rsid w:val="17477421"/>
    <w:rsid w:val="179F7C4F"/>
    <w:rsid w:val="18846FC8"/>
    <w:rsid w:val="19AD7AF4"/>
    <w:rsid w:val="1AC00966"/>
    <w:rsid w:val="1B38620D"/>
    <w:rsid w:val="1D3110CE"/>
    <w:rsid w:val="1D40568D"/>
    <w:rsid w:val="1E1B62F5"/>
    <w:rsid w:val="1FD776A0"/>
    <w:rsid w:val="21E15CC4"/>
    <w:rsid w:val="230B7851"/>
    <w:rsid w:val="232D30B7"/>
    <w:rsid w:val="233370E2"/>
    <w:rsid w:val="23B4754D"/>
    <w:rsid w:val="25EE3C49"/>
    <w:rsid w:val="28F453BD"/>
    <w:rsid w:val="28F6721F"/>
    <w:rsid w:val="29EA2166"/>
    <w:rsid w:val="2A3B6454"/>
    <w:rsid w:val="2AB770D7"/>
    <w:rsid w:val="2B421E3B"/>
    <w:rsid w:val="2B4A5600"/>
    <w:rsid w:val="2B8973FB"/>
    <w:rsid w:val="2BAC6514"/>
    <w:rsid w:val="2BC41BFF"/>
    <w:rsid w:val="2C582184"/>
    <w:rsid w:val="2CB42D15"/>
    <w:rsid w:val="2CBE0547"/>
    <w:rsid w:val="2EF56CD7"/>
    <w:rsid w:val="2F3F2FA2"/>
    <w:rsid w:val="2F761F71"/>
    <w:rsid w:val="2FD9098F"/>
    <w:rsid w:val="31D64609"/>
    <w:rsid w:val="328D6C7F"/>
    <w:rsid w:val="32F073B6"/>
    <w:rsid w:val="33DF7227"/>
    <w:rsid w:val="354D402B"/>
    <w:rsid w:val="368471FE"/>
    <w:rsid w:val="372C427D"/>
    <w:rsid w:val="39556D24"/>
    <w:rsid w:val="39755F3E"/>
    <w:rsid w:val="3D574570"/>
    <w:rsid w:val="3E105ABF"/>
    <w:rsid w:val="3E637139"/>
    <w:rsid w:val="3E8F1850"/>
    <w:rsid w:val="3E90381A"/>
    <w:rsid w:val="3E935099"/>
    <w:rsid w:val="407806B2"/>
    <w:rsid w:val="409E7414"/>
    <w:rsid w:val="40E8290F"/>
    <w:rsid w:val="44887764"/>
    <w:rsid w:val="46D00815"/>
    <w:rsid w:val="47C167F2"/>
    <w:rsid w:val="48A033D2"/>
    <w:rsid w:val="48B40105"/>
    <w:rsid w:val="496E1807"/>
    <w:rsid w:val="49EF333E"/>
    <w:rsid w:val="4A584EBF"/>
    <w:rsid w:val="4E9003AB"/>
    <w:rsid w:val="4FA04497"/>
    <w:rsid w:val="510B4950"/>
    <w:rsid w:val="51B05393"/>
    <w:rsid w:val="53AC58FC"/>
    <w:rsid w:val="54D74F3B"/>
    <w:rsid w:val="560F7861"/>
    <w:rsid w:val="57801197"/>
    <w:rsid w:val="58125293"/>
    <w:rsid w:val="5A56066B"/>
    <w:rsid w:val="5A6F1C9D"/>
    <w:rsid w:val="5B202F64"/>
    <w:rsid w:val="5DAE02C8"/>
    <w:rsid w:val="6161378B"/>
    <w:rsid w:val="61BD4C35"/>
    <w:rsid w:val="620313F6"/>
    <w:rsid w:val="627E7362"/>
    <w:rsid w:val="63440DE8"/>
    <w:rsid w:val="63592E5B"/>
    <w:rsid w:val="63AE00D4"/>
    <w:rsid w:val="660B4337"/>
    <w:rsid w:val="66113292"/>
    <w:rsid w:val="66573B66"/>
    <w:rsid w:val="671E06BC"/>
    <w:rsid w:val="672707F5"/>
    <w:rsid w:val="67782DF9"/>
    <w:rsid w:val="68926FFD"/>
    <w:rsid w:val="699E4077"/>
    <w:rsid w:val="6A823CE2"/>
    <w:rsid w:val="6C405BC7"/>
    <w:rsid w:val="6CD42987"/>
    <w:rsid w:val="6E5342AD"/>
    <w:rsid w:val="6F954C8D"/>
    <w:rsid w:val="70E77ACE"/>
    <w:rsid w:val="72A43B14"/>
    <w:rsid w:val="74065C70"/>
    <w:rsid w:val="74B3656E"/>
    <w:rsid w:val="75A36321"/>
    <w:rsid w:val="76926517"/>
    <w:rsid w:val="77171A58"/>
    <w:rsid w:val="79AB7D57"/>
    <w:rsid w:val="79E54F49"/>
    <w:rsid w:val="7A010B4C"/>
    <w:rsid w:val="7C27651C"/>
    <w:rsid w:val="7CE54EFD"/>
    <w:rsid w:val="7D53768C"/>
    <w:rsid w:val="7D595E03"/>
    <w:rsid w:val="7DA407BF"/>
    <w:rsid w:val="7E097FCF"/>
    <w:rsid w:val="7FE05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line="360" w:lineRule="auto"/>
      <w:jc w:val="left"/>
      <w:outlineLvl w:val="0"/>
    </w:pPr>
    <w:rPr>
      <w:rFonts w:eastAsia="黑体" w:asciiTheme="majorEastAsia" w:hAnsiTheme="majorEastAsia"/>
      <w:bCs/>
      <w:kern w:val="44"/>
      <w:sz w:val="32"/>
      <w:szCs w:val="18"/>
    </w:rPr>
  </w:style>
  <w:style w:type="paragraph" w:styleId="3">
    <w:name w:val="heading 2"/>
    <w:next w:val="4"/>
    <w:link w:val="29"/>
    <w:unhideWhenUsed/>
    <w:qFormat/>
    <w:uiPriority w:val="0"/>
    <w:pPr>
      <w:numPr>
        <w:ilvl w:val="1"/>
        <w:numId w:val="1"/>
      </w:numPr>
      <w:spacing w:line="360" w:lineRule="auto"/>
      <w:outlineLvl w:val="1"/>
    </w:pPr>
    <w:rPr>
      <w:rFonts w:ascii="Arial" w:hAnsi="Arial" w:eastAsia="楷体" w:cstheme="minorBidi"/>
      <w:b/>
      <w:kern w:val="2"/>
      <w:sz w:val="32"/>
      <w:szCs w:val="32"/>
      <w:lang w:val="en-US" w:eastAsia="zh-CN" w:bidi="ar-SA"/>
    </w:rPr>
  </w:style>
  <w:style w:type="paragraph" w:styleId="5">
    <w:name w:val="heading 3"/>
    <w:basedOn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6">
    <w:name w:val="heading 4"/>
    <w:next w:val="4"/>
    <w:link w:val="28"/>
    <w:semiHidden/>
    <w:unhideWhenUsed/>
    <w:qFormat/>
    <w:uiPriority w:val="0"/>
    <w:pPr>
      <w:numPr>
        <w:ilvl w:val="3"/>
        <w:numId w:val="1"/>
      </w:numPr>
      <w:spacing w:line="600" w:lineRule="exact"/>
      <w:ind w:firstLine="640" w:firstLineChars="200"/>
      <w:outlineLvl w:val="3"/>
    </w:pPr>
    <w:rPr>
      <w:rFonts w:ascii="Arial" w:hAnsi="Arial" w:eastAsia="仿宋" w:cstheme="minorBidi"/>
      <w:sz w:val="32"/>
      <w:szCs w:val="32"/>
      <w:lang w:val="en-US" w:eastAsia="zh-CN" w:bidi="ar-SA"/>
    </w:rPr>
  </w:style>
  <w:style w:type="paragraph" w:styleId="7">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8">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4">
    <w:name w:val="Body Text"/>
    <w:basedOn w:val="1"/>
    <w:link w:val="40"/>
    <w:qFormat/>
    <w:uiPriority w:val="0"/>
    <w:pPr>
      <w:spacing w:after="120"/>
    </w:pPr>
  </w:style>
  <w:style w:type="paragraph" w:styleId="12">
    <w:name w:val="Normal Indent"/>
    <w:basedOn w:val="1"/>
    <w:next w:val="1"/>
    <w:qFormat/>
    <w:uiPriority w:val="0"/>
    <w:pPr>
      <w:ind w:firstLine="420" w:firstLineChars="200"/>
    </w:pPr>
    <w:rPr>
      <w:rFonts w:ascii="Times New Roman" w:hAnsi="Times New Roman" w:eastAsia="宋体" w:cs="Times New Roman"/>
    </w:rPr>
  </w:style>
  <w:style w:type="paragraph" w:styleId="13">
    <w:name w:val="index 5"/>
    <w:next w:val="1"/>
    <w:semiHidden/>
    <w:qFormat/>
    <w:uiPriority w:val="0"/>
    <w:pPr>
      <w:widowControl w:val="0"/>
      <w:ind w:left="800" w:leftChars="800"/>
      <w:jc w:val="both"/>
    </w:pPr>
    <w:rPr>
      <w:rFonts w:ascii="Calibri" w:hAnsi="Calibri" w:eastAsia="宋体" w:cs="黑体"/>
      <w:kern w:val="2"/>
      <w:sz w:val="21"/>
      <w:szCs w:val="22"/>
      <w:lang w:val="en-US" w:eastAsia="zh-CN" w:bidi="ar-SA"/>
    </w:rPr>
  </w:style>
  <w:style w:type="paragraph" w:styleId="14">
    <w:name w:val="annotation text"/>
    <w:basedOn w:val="1"/>
    <w:qFormat/>
    <w:uiPriority w:val="0"/>
    <w:pPr>
      <w:jc w:val="left"/>
    </w:pPr>
  </w:style>
  <w:style w:type="paragraph" w:styleId="15">
    <w:name w:val="Plain Text"/>
    <w:basedOn w:val="1"/>
    <w:link w:val="33"/>
    <w:unhideWhenUsed/>
    <w:qFormat/>
    <w:uiPriority w:val="99"/>
    <w:rPr>
      <w:rFonts w:ascii="宋体" w:hAnsi="Courier New" w:eastAsia="宋体" w:cs="Courier New"/>
      <w:szCs w:val="21"/>
    </w:rPr>
  </w:style>
  <w:style w:type="paragraph" w:styleId="16">
    <w:name w:val="Balloon Text"/>
    <w:basedOn w:val="1"/>
    <w:link w:val="38"/>
    <w:qFormat/>
    <w:uiPriority w:val="0"/>
    <w:rPr>
      <w:sz w:val="18"/>
      <w:szCs w:val="18"/>
    </w:rPr>
  </w:style>
  <w:style w:type="paragraph" w:styleId="17">
    <w:name w:val="footer"/>
    <w:basedOn w:val="1"/>
    <w:link w:val="31"/>
    <w:qFormat/>
    <w:uiPriority w:val="99"/>
    <w:pPr>
      <w:tabs>
        <w:tab w:val="center" w:pos="4153"/>
        <w:tab w:val="right" w:pos="8306"/>
      </w:tabs>
      <w:snapToGrid w:val="0"/>
      <w:jc w:val="left"/>
    </w:pPr>
    <w:rPr>
      <w:sz w:val="18"/>
      <w:szCs w:val="18"/>
    </w:rPr>
  </w:style>
  <w:style w:type="paragraph" w:styleId="18">
    <w:name w:val="header"/>
    <w:basedOn w:val="1"/>
    <w:link w:val="30"/>
    <w:qFormat/>
    <w:uiPriority w:val="0"/>
    <w:pPr>
      <w:tabs>
        <w:tab w:val="center" w:pos="4153"/>
        <w:tab w:val="right" w:pos="8306"/>
      </w:tabs>
      <w:snapToGrid w:val="0"/>
      <w:jc w:val="center"/>
    </w:pPr>
    <w:rPr>
      <w:sz w:val="18"/>
      <w:szCs w:val="18"/>
    </w:rPr>
  </w:style>
  <w:style w:type="paragraph" w:styleId="19">
    <w:name w:val="footnote text"/>
    <w:basedOn w:val="1"/>
    <w:link w:val="41"/>
    <w:qFormat/>
    <w:uiPriority w:val="0"/>
    <w:pPr>
      <w:snapToGrid w:val="0"/>
      <w:jc w:val="left"/>
    </w:pPr>
    <w:rPr>
      <w:sz w:val="18"/>
      <w:szCs w:val="18"/>
    </w:rPr>
  </w:style>
  <w:style w:type="paragraph" w:styleId="20">
    <w:name w:val="Normal (Web)"/>
    <w:basedOn w:val="1"/>
    <w:unhideWhenUsed/>
    <w:qFormat/>
    <w:uiPriority w:val="99"/>
    <w:pPr>
      <w:spacing w:beforeAutospacing="1" w:afterAutospacing="1"/>
      <w:jc w:val="left"/>
    </w:pPr>
    <w:rPr>
      <w:rFonts w:cs="Times New Roman"/>
      <w:kern w:val="0"/>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0"/>
    <w:rPr>
      <w:color w:val="0026E5" w:themeColor="hyperlink"/>
      <w:u w:val="single"/>
      <w14:textFill>
        <w14:solidFill>
          <w14:schemeClr w14:val="hlink"/>
        </w14:solidFill>
      </w14:textFill>
    </w:rPr>
  </w:style>
  <w:style w:type="character" w:styleId="26">
    <w:name w:val="annotation reference"/>
    <w:basedOn w:val="23"/>
    <w:qFormat/>
    <w:uiPriority w:val="0"/>
    <w:rPr>
      <w:sz w:val="21"/>
      <w:szCs w:val="21"/>
    </w:rPr>
  </w:style>
  <w:style w:type="character" w:styleId="27">
    <w:name w:val="footnote reference"/>
    <w:basedOn w:val="23"/>
    <w:qFormat/>
    <w:uiPriority w:val="0"/>
    <w:rPr>
      <w:vertAlign w:val="superscript"/>
    </w:rPr>
  </w:style>
  <w:style w:type="character" w:customStyle="1" w:styleId="28">
    <w:name w:val="标题 4 字符"/>
    <w:link w:val="6"/>
    <w:qFormat/>
    <w:uiPriority w:val="9"/>
    <w:rPr>
      <w:rFonts w:ascii="Arial" w:hAnsi="Arial" w:eastAsia="仿宋" w:cstheme="minorBidi"/>
      <w:sz w:val="32"/>
      <w:szCs w:val="32"/>
      <w:lang w:val="en-US" w:eastAsia="zh-CN" w:bidi="ar-SA"/>
    </w:rPr>
  </w:style>
  <w:style w:type="character" w:customStyle="1" w:styleId="29">
    <w:name w:val="标题 2 字符"/>
    <w:link w:val="3"/>
    <w:qFormat/>
    <w:uiPriority w:val="0"/>
    <w:rPr>
      <w:rFonts w:ascii="Arial" w:hAnsi="Arial" w:eastAsia="楷体" w:cstheme="minorBidi"/>
      <w:b/>
      <w:kern w:val="2"/>
      <w:sz w:val="32"/>
      <w:szCs w:val="32"/>
      <w:lang w:val="en-US" w:eastAsia="zh-CN" w:bidi="ar-SA"/>
    </w:rPr>
  </w:style>
  <w:style w:type="character" w:customStyle="1" w:styleId="30">
    <w:name w:val="页眉 字符"/>
    <w:basedOn w:val="23"/>
    <w:link w:val="18"/>
    <w:qFormat/>
    <w:uiPriority w:val="0"/>
    <w:rPr>
      <w:rFonts w:asciiTheme="minorHAnsi" w:hAnsiTheme="minorHAnsi" w:eastAsiaTheme="minorEastAsia" w:cstheme="minorBidi"/>
      <w:kern w:val="2"/>
      <w:sz w:val="18"/>
      <w:szCs w:val="18"/>
    </w:rPr>
  </w:style>
  <w:style w:type="character" w:customStyle="1" w:styleId="31">
    <w:name w:val="页脚 字符"/>
    <w:basedOn w:val="23"/>
    <w:link w:val="17"/>
    <w:qFormat/>
    <w:uiPriority w:val="99"/>
    <w:rPr>
      <w:rFonts w:asciiTheme="minorHAnsi" w:hAnsiTheme="minorHAnsi" w:eastAsiaTheme="minorEastAsia" w:cstheme="minorBidi"/>
      <w:kern w:val="2"/>
      <w:sz w:val="18"/>
      <w:szCs w:val="18"/>
    </w:rPr>
  </w:style>
  <w:style w:type="paragraph" w:customStyle="1" w:styleId="32">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3">
    <w:name w:val="纯文本 字符"/>
    <w:basedOn w:val="23"/>
    <w:link w:val="15"/>
    <w:qFormat/>
    <w:uiPriority w:val="99"/>
    <w:rPr>
      <w:rFonts w:ascii="宋体" w:hAnsi="Courier New" w:cs="Courier New"/>
      <w:kern w:val="2"/>
      <w:sz w:val="21"/>
      <w:szCs w:val="21"/>
    </w:rPr>
  </w:style>
  <w:style w:type="paragraph" w:customStyle="1" w:styleId="34">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未处理的提及1"/>
    <w:basedOn w:val="23"/>
    <w:semiHidden/>
    <w:unhideWhenUsed/>
    <w:qFormat/>
    <w:uiPriority w:val="99"/>
    <w:rPr>
      <w:color w:val="605E5C"/>
      <w:shd w:val="clear" w:color="auto" w:fill="E1DFDD"/>
    </w:rPr>
  </w:style>
  <w:style w:type="paragraph" w:customStyle="1" w:styleId="36">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7">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8">
    <w:name w:val="批注框文本 字符"/>
    <w:basedOn w:val="23"/>
    <w:link w:val="16"/>
    <w:qFormat/>
    <w:uiPriority w:val="0"/>
    <w:rPr>
      <w:rFonts w:asciiTheme="minorHAnsi" w:hAnsiTheme="minorHAnsi" w:eastAsiaTheme="minorEastAsia" w:cstheme="minorBidi"/>
      <w:kern w:val="2"/>
      <w:sz w:val="18"/>
      <w:szCs w:val="18"/>
    </w:rPr>
  </w:style>
  <w:style w:type="paragraph" w:styleId="39">
    <w:name w:val="List Paragraph"/>
    <w:basedOn w:val="1"/>
    <w:unhideWhenUsed/>
    <w:qFormat/>
    <w:uiPriority w:val="99"/>
    <w:pPr>
      <w:ind w:firstLine="420" w:firstLineChars="200"/>
    </w:pPr>
  </w:style>
  <w:style w:type="character" w:customStyle="1" w:styleId="40">
    <w:name w:val="正文文本 字符"/>
    <w:basedOn w:val="23"/>
    <w:link w:val="4"/>
    <w:qFormat/>
    <w:uiPriority w:val="0"/>
    <w:rPr>
      <w:rFonts w:asciiTheme="minorHAnsi" w:hAnsiTheme="minorHAnsi" w:eastAsiaTheme="minorEastAsia" w:cstheme="minorBidi"/>
      <w:kern w:val="2"/>
      <w:sz w:val="21"/>
      <w:szCs w:val="22"/>
    </w:rPr>
  </w:style>
  <w:style w:type="character" w:customStyle="1" w:styleId="41">
    <w:name w:val="脚注文本 字符"/>
    <w:basedOn w:val="23"/>
    <w:link w:val="1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0EF0AA-4E31-43D1-8542-3E73B9E12CF6}">
  <ds:schemaRefs/>
</ds:datastoreItem>
</file>

<file path=docProps/app.xml><?xml version="1.0" encoding="utf-8"?>
<Properties xmlns="http://schemas.openxmlformats.org/officeDocument/2006/extended-properties" xmlns:vt="http://schemas.openxmlformats.org/officeDocument/2006/docPropsVTypes">
  <Template>Normal</Template>
  <Pages>8</Pages>
  <Words>3917</Words>
  <Characters>3920</Characters>
  <Lines>28</Lines>
  <Paragraphs>8</Paragraphs>
  <TotalTime>2</TotalTime>
  <ScaleCrop>false</ScaleCrop>
  <LinksUpToDate>false</LinksUpToDate>
  <CharactersWithSpaces>3927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2026-01-16T07:25:00Z</dcterms:created>
  <dc:creator>Real</dc:creator>
  <cp:lastModifiedBy>熊二1413464596</cp:lastModifiedBy>
  <cp:lastPrinted>2026-01-08T10:55:00Z</cp:lastPrinted>
  <dcterms:modified xsi:type="dcterms:W3CDTF">2026-01-27T05:55:38Z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37C0938AC05948BD896A098CB9A8AFE7_13</vt:lpwstr>
  </property>
  <property fmtid="{D5CDD505-2E9C-101B-9397-08002B2CF9AE}" pid="4" name="KSOTemplateDocerSaveRecord">
    <vt:lpwstr>eyJoZGlkIjoiNDJmNzkxYjMzNWRmMDZmMjZmNGQ5NjAxOGRjNTExMTIiLCJ1c2VySWQiOiIyMzE5NTc4MSJ9</vt:lpwstr>
  </property>
</Properties>
</file>