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6"/>
          <w:szCs w:val="36"/>
          <w:highlight w:val="none"/>
        </w:rPr>
        <w:t>附件1</w:t>
      </w:r>
    </w:p>
    <w:p>
      <w:pPr>
        <w:snapToGrid w:val="0"/>
        <w:spacing w:line="640" w:lineRule="exact"/>
        <w:rPr>
          <w:rFonts w:hint="eastAsia" w:ascii="黑体" w:eastAsia="黑体"/>
          <w:highlight w:val="none"/>
        </w:rPr>
      </w:pP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届“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桃李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杯”全国青少年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舞蹈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教育教学成果展示活动方案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8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一、总体要求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第十四届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“桃李杯”全国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青少年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舞蹈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教育教学成果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/>
        </w:rPr>
        <w:t>展示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（以下简称展示活动）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以习近平新时代中国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/>
        </w:rPr>
        <w:t>特色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6"/>
          <w:szCs w:val="36"/>
          <w:highlight w:val="none"/>
          <w:u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eastAsia="zh-CN"/>
        </w:rPr>
        <w:t>立德树人根本任务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6"/>
          <w:szCs w:val="36"/>
          <w:highlight w:val="none"/>
          <w:u w:val="none"/>
          <w:lang w:eastAsia="zh-CN"/>
        </w:rPr>
        <w:t>，汇聚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展现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舞蹈专业教育教学成果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总结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推广先进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教学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创作经验，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选拔培养拔尖、创新型舞蹈人才，推动优质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舞蹈教育资源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共建共享，为繁荣发展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我国舞蹈事业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涵养源头活水</w:t>
      </w:r>
      <w:r>
        <w:rPr>
          <w:rFonts w:hint="default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，提供坚实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default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主办单位：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文化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和旅游部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left="0" w:leftChars="0" w:right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承办单位：文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化和旅游部科技教育司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、北京市教育委员会、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北京舞蹈学院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885"/>
        </w:tabs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leftChars="0" w:right="0" w:firstLine="720" w:firstLineChars="200"/>
        <w:textAlignment w:val="baseline"/>
        <w:rPr>
          <w:rFonts w:hint="eastAsia" w:ascii="仿宋_GB2312" w:hAnsi="Times New Roman" w:eastAsia="仿宋_GB2312"/>
          <w:sz w:val="36"/>
          <w:szCs w:val="36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科技教育司负责展示活动总体统筹，组织专家对展示活动内容审核把关；在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/>
        </w:rPr>
        <w:t>北京舞蹈学院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设立展示活动秘书处，负责协调落实具体工作事项</w:t>
      </w:r>
      <w:r>
        <w:rPr>
          <w:rFonts w:hint="eastAsia" w:ascii="仿宋_GB2312" w:hAnsi="Times New Roman" w:eastAsia="仿宋_GB2312"/>
          <w:sz w:val="36"/>
          <w:szCs w:val="36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720" w:firstLineChars="200"/>
        <w:jc w:val="both"/>
        <w:textAlignment w:val="baseline"/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eastAsia="zh-CN"/>
        </w:rPr>
        <w:t>展示活动主体</w:t>
      </w:r>
      <w:r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  <w:t>分为三个版块：</w:t>
      </w:r>
    </w:p>
    <w:p>
      <w:pPr>
        <w:pStyle w:val="5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u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6"/>
          <w:szCs w:val="36"/>
          <w:u w:val="none"/>
        </w:rPr>
        <w:t>学生</w:t>
      </w:r>
      <w:r>
        <w:rPr>
          <w:rFonts w:hint="eastAsia" w:ascii="楷体_GB2312" w:hAnsi="楷体_GB2312" w:eastAsia="楷体_GB2312" w:cs="楷体_GB2312"/>
          <w:sz w:val="36"/>
          <w:szCs w:val="36"/>
          <w:u w:val="none"/>
          <w:lang w:eastAsia="zh-CN"/>
        </w:rPr>
        <w:t>节目展示：</w:t>
      </w:r>
      <w:r>
        <w:rPr>
          <w:rFonts w:hint="eastAsia" w:ascii="仿宋_GB2312" w:eastAsia="仿宋_GB2312" w:cs="仿宋_GB2312"/>
          <w:sz w:val="36"/>
          <w:szCs w:val="36"/>
          <w:u w:val="none"/>
        </w:rPr>
        <w:t>考察学生</w:t>
      </w:r>
      <w:r>
        <w:rPr>
          <w:rFonts w:hint="eastAsia" w:ascii="仿宋_GB2312" w:eastAsia="仿宋_GB2312" w:cs="仿宋_GB2312"/>
          <w:sz w:val="36"/>
          <w:szCs w:val="36"/>
          <w:u w:val="none"/>
          <w:lang w:eastAsia="zh-CN"/>
        </w:rPr>
        <w:t>舞蹈专业能力与综合素质，</w:t>
      </w:r>
      <w:r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  <w:t>包括中国古典舞、中国民族民间舞、芭蕾舞、现代舞、</w:t>
      </w:r>
      <w:r>
        <w:rPr>
          <w:rFonts w:hint="eastAsia" w:ascii="仿宋_GB2312" w:eastAsia="仿宋_GB2312"/>
          <w:color w:val="auto"/>
          <w:sz w:val="36"/>
          <w:szCs w:val="36"/>
          <w:highlight w:val="none"/>
          <w:u w:val="none"/>
          <w:lang w:val="en-US" w:eastAsia="zh-CN"/>
        </w:rPr>
        <w:t>国际标准舞、音乐剧（歌舞表演）、</w:t>
      </w:r>
      <w:r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  <w:t>群舞等七类。</w:t>
      </w:r>
    </w:p>
    <w:p>
      <w:pPr>
        <w:widowControl/>
        <w:shd w:val="clear" w:color="auto" w:fill="FFFFFF"/>
        <w:topLinePunct/>
        <w:autoSpaceDE w:val="0"/>
        <w:autoSpaceDN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z w:val="36"/>
          <w:szCs w:val="36"/>
          <w:highlight w:val="none"/>
          <w:u w:val="none"/>
          <w:lang w:eastAsia="zh-CN"/>
        </w:rPr>
        <w:t>（二）教师示范课展示：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考察教师关于</w:t>
      </w:r>
      <w:r>
        <w:rPr>
          <w:rFonts w:hint="eastAsia" w:ascii="仿宋_GB2312" w:eastAsia="仿宋_GB2312" w:cs="仿宋_GB2312"/>
          <w:sz w:val="36"/>
          <w:szCs w:val="36"/>
          <w:u w:val="none"/>
          <w:lang w:eastAsia="zh-CN"/>
        </w:rPr>
        <w:t>舞蹈专业</w:t>
      </w:r>
      <w:r>
        <w:rPr>
          <w:rFonts w:hint="eastAsia" w:ascii="仿宋_GB2312" w:eastAsia="仿宋_GB2312" w:cs="仿宋_GB2312"/>
          <w:sz w:val="36"/>
          <w:szCs w:val="36"/>
          <w:u w:val="none"/>
        </w:rPr>
        <w:t>核心素养、基础能力</w:t>
      </w:r>
      <w:r>
        <w:rPr>
          <w:rFonts w:hint="eastAsia" w:ascii="仿宋_GB2312" w:eastAsia="仿宋_GB2312" w:cs="仿宋_GB2312"/>
          <w:sz w:val="36"/>
          <w:szCs w:val="36"/>
          <w:u w:val="none"/>
          <w:lang w:eastAsia="zh-CN"/>
        </w:rPr>
        <w:t>、训练方法的教育教学过程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，</w:t>
      </w:r>
      <w:r>
        <w:rPr>
          <w:rFonts w:hint="eastAsia" w:ascii="仿宋_GB2312" w:eastAsia="仿宋_GB2312" w:cs="仿宋_GB2312"/>
          <w:sz w:val="36"/>
          <w:szCs w:val="36"/>
          <w:u w:val="none"/>
          <w:lang w:eastAsia="zh-CN"/>
        </w:rPr>
        <w:t>体现课程思政要求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720" w:firstLineChars="200"/>
        <w:jc w:val="both"/>
        <w:textAlignment w:val="baseline"/>
        <w:rPr>
          <w:rFonts w:hint="default" w:ascii="仿宋_GB2312" w:eastAsia="仿宋_GB2312" w:cs="仿宋_GB2312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highlight w:val="none"/>
          <w:u w:val="none"/>
          <w:lang w:val="en-US" w:eastAsia="zh-CN"/>
        </w:rPr>
        <w:t>（三）舞蹈教育教学研讨会：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  <w:t>围绕当前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舞蹈专业教育改革发展和人才培养模式创新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  <w:t>，研究探讨思路和对策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720" w:firstLineChars="200"/>
        <w:jc w:val="both"/>
        <w:textAlignment w:val="baseline"/>
        <w:rPr>
          <w:rFonts w:hint="default" w:ascii="仿宋_GB2312" w:eastAsia="仿宋_GB2312" w:cs="仿宋_GB2312"/>
          <w:sz w:val="36"/>
          <w:szCs w:val="36"/>
          <w:highlight w:val="none"/>
          <w:u w:val="none"/>
          <w:lang w:val="en" w:eastAsia="zh-CN"/>
        </w:rPr>
      </w:pPr>
      <w:r>
        <w:rPr>
          <w:rFonts w:hint="eastAsia" w:ascii="仿宋_GB2312" w:eastAsia="仿宋_GB2312"/>
          <w:sz w:val="36"/>
          <w:szCs w:val="36"/>
          <w:highlight w:val="none"/>
          <w:u w:val="none"/>
          <w:lang w:val="en-US" w:eastAsia="zh-CN"/>
        </w:rPr>
        <w:t>此外，设立两个特别邀请单元：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舞蹈研究生工作坊、舞蹈影像与科技创新展示，将分别聚焦高层次和创新型舞蹈人才培养，展示舞蹈影像创作传播以及舞蹈与科技融合创新的实践案例（具体方案另行通知）。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四、工作程序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640"/>
        <w:jc w:val="both"/>
        <w:textAlignment w:val="baseline"/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highlight w:val="none"/>
          <w:u w:val="none"/>
          <w:lang w:eastAsia="zh-CN"/>
        </w:rPr>
        <w:t>（一）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  <w:t>开设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舞蹈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  <w:t>专业的各级各类院校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均可申报，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通过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val="en-US" w:eastAsia="zh-CN"/>
        </w:rPr>
        <w:t>“全国青少年艺术教育教学成果展示活动管理系统”（以下简称展示活动管理系统）报送资料</w:t>
      </w:r>
      <w:r>
        <w:rPr>
          <w:rFonts w:hint="eastAsia" w:ascii="仿宋_GB2312" w:hAnsi="仿宋_GB2312" w:eastAsia="仿宋_GB2312" w:cs="仿宋_GB2312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Hans"/>
        </w:rPr>
        <w:t>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640"/>
        <w:jc w:val="both"/>
        <w:textAlignment w:val="baseline"/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</w:pPr>
      <w:r>
        <w:rPr>
          <w:rFonts w:hint="eastAsia" w:ascii="仿宋_GB2312" w:eastAsia="仿宋_GB2312" w:cs="仿宋_GB2312"/>
          <w:sz w:val="36"/>
          <w:szCs w:val="36"/>
          <w:highlight w:val="none"/>
          <w:u w:val="none"/>
          <w:lang w:eastAsia="zh-CN"/>
        </w:rPr>
        <w:t>院校申报</w:t>
      </w:r>
      <w:r>
        <w:rPr>
          <w:rFonts w:hint="eastAsia" w:ascii="仿宋_GB2312" w:eastAsia="仿宋_GB2312" w:cs="仿宋_GB2312"/>
          <w:sz w:val="36"/>
          <w:szCs w:val="36"/>
          <w:highlight w:val="none"/>
          <w:u w:val="none"/>
        </w:rPr>
        <w:t>起止时间：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  <w:t>202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val="en-US" w:eastAsia="zh-Hans"/>
        </w:rPr>
        <w:t>6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  <w:t>年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val="en-US" w:eastAsia="zh-Hans"/>
        </w:rPr>
        <w:t>3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  <w:t>月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val="en-US" w:eastAsia="zh-Hans"/>
        </w:rPr>
        <w:t>1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  <w:t>日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napToGrid/>
          <w:color w:val="000008"/>
          <w:kern w:val="2"/>
          <w:sz w:val="36"/>
          <w:szCs w:val="36"/>
          <w:highlight w:val="none"/>
          <w:u w:val="none"/>
          <w:lang w:val="en-US" w:eastAsia="zh-Hans"/>
        </w:rPr>
        <w:t>31日</w:t>
      </w:r>
      <w:r>
        <w:rPr>
          <w:rFonts w:hint="eastAsia" w:ascii="仿宋_GB2312" w:hAnsi="仿宋_GB2312" w:eastAsia="仿宋_GB2312" w:cs="仿宋_GB2312"/>
          <w:color w:val="000008"/>
          <w:sz w:val="36"/>
          <w:szCs w:val="36"/>
          <w:highlight w:val="none"/>
          <w:u w:val="none"/>
          <w:lang w:eastAsia="zh-Hans"/>
        </w:rPr>
        <w:t>。</w:t>
      </w:r>
    </w:p>
    <w:p>
      <w:pPr>
        <w:pStyle w:val="5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仿宋_GB2312" w:hAnsi="Arial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highlight w:val="none"/>
          <w:u w:val="none"/>
          <w:lang w:eastAsia="zh-CN"/>
        </w:rPr>
        <w:t>（二）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</w:rPr>
        <w:t>各省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eastAsia="zh-CN"/>
        </w:rPr>
        <w:t>级文化和旅游行政部门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</w:rPr>
        <w:t>负责对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eastAsia="zh-CN"/>
        </w:rPr>
        <w:t>属地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</w:rPr>
        <w:t>院校申报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eastAsia="zh-CN"/>
        </w:rPr>
        <w:t>项目的审核把关，</w:t>
      </w:r>
      <w:r>
        <w:rPr>
          <w:rFonts w:hint="eastAsia" w:ascii="仿宋_GB2312" w:hAnsi="Arial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文化和旅游部相关直属单位、部共建院校及有关部属高校对本单位项目审核把关，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6"/>
          <w:szCs w:val="36"/>
          <w:highlight w:val="none"/>
          <w:u w:val="none"/>
          <w:lang w:val="en-US" w:eastAsia="zh-CN"/>
        </w:rPr>
        <w:t>通过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val="en-US" w:eastAsia="zh-CN"/>
        </w:rPr>
        <w:t>展示活动管理系统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</w:rPr>
        <w:t>择优向文化和旅游部推荐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eastAsia="zh-CN"/>
        </w:rPr>
        <w:t>。</w:t>
      </w:r>
      <w:r>
        <w:rPr>
          <w:rFonts w:hint="eastAsia" w:ascii="仿宋_GB2312" w:hAnsi="Arial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文化和旅游部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港澳台办负责统筹协调港澳台</w:t>
      </w:r>
      <w:r>
        <w:rPr>
          <w:rFonts w:hint="eastAsia" w:ascii="仿宋_GB2312" w:hAnsi="Arial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有关机构申报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和推荐等事宜</w:t>
      </w:r>
      <w:r>
        <w:rPr>
          <w:rFonts w:hint="eastAsia" w:ascii="仿宋_GB2312" w:hAnsi="Arial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640"/>
        <w:jc w:val="both"/>
        <w:textAlignment w:val="baseline"/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各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</w:rPr>
        <w:t>省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eastAsia="zh-CN"/>
        </w:rPr>
        <w:t>级文化和旅游行政部门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可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推荐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学生节目群舞、音乐剧（歌舞表演）各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不超过4个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，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中国古典舞、中国民族民间舞、现代舞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、国际标准舞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每组别不超过4个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，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芭蕾舞组数量不限；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推荐教师示范课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不超过3</w:t>
      </w:r>
      <w:r>
        <w:rPr>
          <w:rFonts w:hint="eastAsia" w:ascii="仿宋_GB2312" w:hAnsi="Arial" w:eastAsia="仿宋_GB2312" w:cs="仿宋_GB2312"/>
          <w:b w:val="0"/>
          <w:snapToGrid w:val="0"/>
          <w:color w:val="auto"/>
          <w:kern w:val="0"/>
          <w:sz w:val="36"/>
          <w:szCs w:val="36"/>
          <w:highlight w:val="none"/>
          <w:u w:val="none"/>
          <w:lang w:val="en-US" w:eastAsia="zh-Hans"/>
        </w:rPr>
        <w:t>个</w:t>
      </w:r>
      <w:r>
        <w:rPr>
          <w:rFonts w:hint="eastAsia" w:ascii="仿宋_GB2312" w:hAnsi="Arial" w:eastAsia="仿宋_GB2312" w:cs="仿宋_GB2312"/>
          <w:b w:val="0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。文化和旅游部港澳台办、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部直属单位、部共建院校</w:t>
      </w:r>
      <w:r>
        <w:rPr>
          <w:rFonts w:hint="eastAsia" w:ascii="仿宋_GB2312" w:hAnsi="Arial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及有关部属高校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Hans"/>
        </w:rPr>
        <w:t>每组别推荐不超过3个。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640"/>
        <w:jc w:val="both"/>
        <w:textAlignment w:val="baseline"/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推荐截止时间：202</w:t>
      </w:r>
      <w:r>
        <w:rPr>
          <w:rFonts w:hint="eastAsia" w:ascii="仿宋_GB2312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年4月30日。</w:t>
      </w:r>
    </w:p>
    <w:p>
      <w:pPr>
        <w:pStyle w:val="5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jc w:val="both"/>
        <w:textAlignment w:val="baseline"/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highlight w:val="none"/>
          <w:u w:val="none"/>
          <w:lang w:val="en-US" w:eastAsia="zh-CN"/>
        </w:rPr>
        <w:t>（三）</w:t>
      </w:r>
      <w:r>
        <w:rPr>
          <w:rFonts w:hint="eastAsia" w:ascii="仿宋_GB2312" w:eastAsia="仿宋_GB2312" w:cs="仿宋_GB2312"/>
          <w:color w:val="000000"/>
          <w:sz w:val="36"/>
          <w:szCs w:val="36"/>
          <w:highlight w:val="none"/>
          <w:u w:val="none"/>
          <w:lang w:val="en-US" w:eastAsia="zh-CN"/>
        </w:rPr>
        <w:t>文化和旅游部科技教育司组织专家通过审看录像、现场评议等方式，遴选展示活动参演项目，推荐一批可供参考借鉴、学习推广的教育教学成果</w:t>
      </w:r>
      <w:r>
        <w:rPr>
          <w:rFonts w:hint="eastAsia" w:ascii="仿宋_GB2312" w:hAnsi="Arial" w:eastAsia="仿宋_GB2312" w:cs="仿宋_GB2312"/>
          <w:b w:val="0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五、活动安排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kern w:val="2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6"/>
          <w:szCs w:val="36"/>
          <w:highlight w:val="none"/>
          <w:u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6"/>
          <w:szCs w:val="36"/>
          <w:highlight w:val="none"/>
          <w:u w:val="none"/>
        </w:rPr>
        <w:t>现场展示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6"/>
          <w:szCs w:val="36"/>
          <w:highlight w:val="none"/>
          <w:u w:val="none"/>
        </w:rPr>
      </w:pP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计划于202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年8月在北京举行现场展示活动，包括学生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入选项目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、教师示范课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等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。</w:t>
      </w:r>
    </w:p>
    <w:p>
      <w:pPr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eastAsia="zh-CN"/>
        </w:rPr>
        <w:t>（二）特别邀请单元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计划于2026年9月至12月举办舞蹈研究生工作坊、舞蹈影像与科技创新展示。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leftChars="0" w:firstLine="72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eastAsia="zh-CN"/>
        </w:rPr>
        <w:t>（三）成果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val="en-US" w:eastAsia="zh-CN"/>
        </w:rPr>
        <w:t>巡演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</w:pP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eastAsia="zh-CN"/>
        </w:rPr>
        <w:t>计划于2026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年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eastAsia="zh-CN"/>
        </w:rPr>
        <w:t>下半年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至202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年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eastAsia="zh-CN"/>
        </w:rPr>
        <w:t>，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根据实际情况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分片区开展交流巡演活动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leftChars="0" w:firstLine="724" w:firstLineChars="200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  <w:lang w:eastAsia="zh-CN"/>
        </w:rPr>
        <w:t>）舞蹈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1"/>
          <w:sz w:val="36"/>
          <w:szCs w:val="36"/>
          <w:highlight w:val="none"/>
          <w:u w:val="none"/>
        </w:rPr>
        <w:t>教育教学研讨会</w:t>
      </w:r>
    </w:p>
    <w:p>
      <w:pPr>
        <w:pStyle w:val="8"/>
        <w:numPr>
          <w:ilvl w:val="0"/>
          <w:numId w:val="0"/>
        </w:numPr>
        <w:spacing w:after="0" w:line="640" w:lineRule="exact"/>
        <w:ind w:firstLine="716" w:firstLineChars="200"/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  <w:lang w:val="en-US" w:eastAsia="zh-CN"/>
        </w:rPr>
        <w:t>计划在现场展示和巡演期间同步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  <w:t>组织开展舞蹈教育教学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  <w:lang w:eastAsia="zh-CN"/>
        </w:rPr>
        <w:t>系列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  <w:t>专题研讨活动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72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1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六、活动成果</w:t>
      </w:r>
    </w:p>
    <w:p>
      <w:pPr>
        <w:spacing w:line="640" w:lineRule="exact"/>
        <w:ind w:firstLine="716" w:firstLineChars="200"/>
        <w:rPr>
          <w:rFonts w:hint="eastAsia" w:ascii="仿宋_GB2312" w:hAnsi="仿宋_GB2312" w:eastAsia="仿宋_GB2312" w:cs="仿宋_GB2312"/>
          <w:color w:val="auto"/>
          <w:spacing w:val="-1"/>
          <w:sz w:val="36"/>
          <w:szCs w:val="36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1"/>
          <w:sz w:val="36"/>
          <w:szCs w:val="36"/>
          <w:highlight w:val="none"/>
          <w:u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-1"/>
          <w:sz w:val="36"/>
          <w:szCs w:val="36"/>
          <w:highlight w:val="none"/>
          <w:u w:val="none"/>
          <w:lang w:eastAsia="zh-CN"/>
        </w:rPr>
        <w:t>文化和旅游部为参与现场展示的项目颁发证书。</w:t>
      </w:r>
    </w:p>
    <w:p>
      <w:pPr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-1"/>
          <w:kern w:val="0"/>
          <w:sz w:val="36"/>
          <w:szCs w:val="36"/>
          <w:highlight w:val="none"/>
          <w:u w:val="none"/>
          <w:lang w:val="en-US" w:eastAsia="zh-CN"/>
        </w:rPr>
        <w:t>（二）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在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文化和旅游部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及北京舞蹈学院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门户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网站等平台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对本届展示活动相关成果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进行线上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展示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  <w:t>。</w:t>
      </w:r>
    </w:p>
    <w:p>
      <w:pPr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16" w:firstLineChars="200"/>
        <w:textAlignment w:val="auto"/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1"/>
          <w:sz w:val="36"/>
          <w:szCs w:val="36"/>
          <w:highlight w:val="none"/>
          <w:u w:val="none"/>
          <w:lang w:eastAsia="zh-CN"/>
        </w:rPr>
        <w:t>（三）</w:t>
      </w:r>
      <w:r>
        <w:rPr>
          <w:rFonts w:hint="eastAsia" w:ascii="仿宋_GB2312" w:hAnsi="Calibri" w:eastAsia="仿宋_GB2312" w:cs="仿宋_GB2312"/>
          <w:b w:val="0"/>
          <w:bC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为促进舞蹈教育教学成果学习交流，鼓励</w:t>
      </w:r>
      <w:r>
        <w:rPr>
          <w:rFonts w:hint="eastAsia" w:ascii="仿宋_GB2312" w:hAnsi="Calibri" w:eastAsia="仿宋_GB2312" w:cs="仿宋_GB2312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各有关方面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eastAsia="zh-CN"/>
        </w:rPr>
        <w:t>积极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宣传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  <w:lang w:eastAsia="zh-CN"/>
        </w:rPr>
        <w:t>报道</w:t>
      </w:r>
      <w:r>
        <w:rPr>
          <w:rFonts w:hint="eastAsia" w:ascii="仿宋_GB2312" w:hAnsi="Calibri" w:eastAsia="仿宋_GB2312" w:cs="仿宋_GB2312"/>
          <w:snapToGrid w:val="0"/>
          <w:color w:val="auto"/>
          <w:kern w:val="0"/>
          <w:sz w:val="36"/>
          <w:szCs w:val="36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right="0" w:rightChars="0" w:firstLine="7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8"/>
          <w:spacing w:val="0"/>
          <w:sz w:val="36"/>
          <w:szCs w:val="36"/>
          <w:highlight w:val="none"/>
          <w:u w:val="none"/>
          <w:lang w:val="en-US" w:eastAsia="zh-CN"/>
        </w:rPr>
        <w:t>七、其他事项</w:t>
      </w:r>
    </w:p>
    <w:p>
      <w:pPr>
        <w:pStyle w:val="5"/>
        <w:spacing w:line="640" w:lineRule="exact"/>
        <w:ind w:firstLine="720" w:firstLineChars="200"/>
        <w:rPr>
          <w:rFonts w:hint="eastAsia" w:ascii="楷体_GB2312" w:hAnsi="楷体_GB2312" w:eastAsia="楷体_GB2312" w:cs="楷体_GB2312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（一）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严格落实意识形态工作责任制，参与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活动的各级单位须严把政治思想关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。</w:t>
      </w:r>
    </w:p>
    <w:p>
      <w:pPr>
        <w:pStyle w:val="5"/>
        <w:spacing w:line="640" w:lineRule="exact"/>
        <w:ind w:firstLine="720" w:firstLineChars="200"/>
        <w:rPr>
          <w:rFonts w:hint="eastAsia" w:ascii="仿宋_GB2312" w:hAnsi="方正仿宋_GBK" w:eastAsia="仿宋_GB2312" w:cs="方正仿宋_GBK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sz w:val="36"/>
          <w:szCs w:val="36"/>
          <w:u w:val="none"/>
        </w:rPr>
        <w:t>（二）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参加展示活动的单位和人员须严格遵守各项规定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val="en-US" w:eastAsia="zh-CN"/>
        </w:rPr>
        <w:t>,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</w:rPr>
        <w:t>参展人员以报名信息为准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</w:rPr>
        <w:t>不得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  <w:lang w:eastAsia="zh-CN"/>
        </w:rPr>
        <w:t>随意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</w:rPr>
        <w:t>调换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参展内容不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存在版权方面争议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。</w:t>
      </w:r>
    </w:p>
    <w:p>
      <w:pPr>
        <w:pStyle w:val="5"/>
        <w:topLinePunct/>
        <w:snapToGrid w:val="0"/>
        <w:spacing w:line="640" w:lineRule="exact"/>
        <w:ind w:firstLine="720" w:firstLineChars="200"/>
        <w:jc w:val="both"/>
        <w:rPr>
          <w:rFonts w:hint="eastAsia" w:ascii="仿宋_GB2312" w:hAnsi="方正仿宋_GBK" w:eastAsia="仿宋_GB2312" w:cs="方正仿宋_GBK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）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</w:rPr>
        <w:t>主办方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  <w:lang w:eastAsia="zh-CN"/>
        </w:rPr>
        <w:t>有权组织开展参展内容的研究、录制、剪辑合成；有权组织相关音像制品的出版、播放、使用、发行以及通过各种媒体的宣传推广工作</w:t>
      </w:r>
      <w:r>
        <w:rPr>
          <w:rFonts w:hint="eastAsia" w:ascii="仿宋_GB2312" w:hAnsi="方正仿宋_GBK" w:eastAsia="仿宋_GB2312" w:cs="方正仿宋_GBK"/>
          <w:sz w:val="36"/>
          <w:szCs w:val="36"/>
          <w:u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640" w:lineRule="exact"/>
        <w:ind w:firstLine="72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（四）</w:t>
      </w:r>
      <w:r>
        <w:rPr>
          <w:rFonts w:hint="eastAsia" w:ascii="仿宋_GB2312" w:hAnsi="方正仿宋_GBK" w:eastAsia="仿宋_GB2312" w:cs="方正仿宋_GBK"/>
          <w:snapToGrid/>
          <w:color w:val="000000"/>
          <w:kern w:val="2"/>
          <w:sz w:val="36"/>
          <w:szCs w:val="36"/>
          <w:highlight w:val="none"/>
          <w:u w:val="none"/>
          <w:lang w:eastAsia="zh-CN"/>
        </w:rPr>
        <w:t>各单位应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"/>
          <w:sz w:val="36"/>
          <w:szCs w:val="36"/>
          <w:highlight w:val="none"/>
          <w:u w:val="none"/>
        </w:rPr>
        <w:t>切实维护“桃李杯”成果知识产权和品牌声誉。</w:t>
      </w:r>
    </w:p>
    <w:p>
      <w:pPr>
        <w:pStyle w:val="8"/>
        <w:spacing w:after="0" w:line="640" w:lineRule="exact"/>
        <w:ind w:firstLine="540" w:firstLineChars="150"/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五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）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本届展示活动不收取报名费，参展所需其他费用由所在单位</w:t>
      </w:r>
      <w:r>
        <w:rPr>
          <w:rFonts w:hint="eastAsia" w:ascii="仿宋_GB2312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负责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。</w:t>
      </w:r>
    </w:p>
    <w:p>
      <w:pPr>
        <w:pStyle w:val="8"/>
        <w:spacing w:after="0" w:line="640" w:lineRule="exact"/>
        <w:ind w:firstLine="720" w:firstLineChars="200"/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6"/>
          <w:szCs w:val="36"/>
          <w:highlight w:val="none"/>
          <w:u w:val="none"/>
        </w:rPr>
        <w:t>）</w:t>
      </w: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本方案由文化和旅游部科技教育司负责解</w:t>
      </w:r>
    </w:p>
    <w:p>
      <w:pPr>
        <w:widowControl/>
        <w:shd w:val="clear" w:color="auto" w:fill="FFFFFF"/>
        <w:topLinePunct/>
        <w:autoSpaceDE w:val="0"/>
        <w:autoSpaceDN w:val="0"/>
        <w:adjustRightInd w:val="0"/>
        <w:snapToGrid w:val="0"/>
        <w:spacing w:line="640" w:lineRule="exact"/>
        <w:textAlignment w:val="baseline"/>
        <w:rPr>
          <w:sz w:val="36"/>
          <w:szCs w:val="36"/>
          <w:highlight w:val="none"/>
          <w:u w:val="none"/>
        </w:rPr>
      </w:pPr>
      <w:r>
        <w:rPr>
          <w:rFonts w:hint="eastAsia" w:ascii="仿宋_GB2312" w:hAnsi="Calibri" w:eastAsia="仿宋_GB2312" w:cs="仿宋_GB2312"/>
          <w:snapToGrid w:val="0"/>
          <w:color w:val="000000"/>
          <w:kern w:val="0"/>
          <w:sz w:val="36"/>
          <w:szCs w:val="36"/>
          <w:highlight w:val="none"/>
          <w:u w:val="none"/>
        </w:rPr>
        <w:t>释。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64fHIAQAAfg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0"/>
      <w:ind w:firstLine="624"/>
    </w:pPr>
    <w:rPr>
      <w:rFonts w:ascii="Calibri" w:hAnsi="Calibri" w:eastAsia="仿宋_GB2312" w:cs="黑体"/>
      <w:sz w:val="32"/>
    </w:rPr>
  </w:style>
  <w:style w:type="paragraph" w:styleId="3">
    <w:name w:val="Body Text"/>
    <w:basedOn w:val="1"/>
    <w:next w:val="2"/>
    <w:qFormat/>
    <w:uiPriority w:val="0"/>
    <w:pPr>
      <w:spacing w:after="140" w:line="288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2026-02-02T07:22:40Z</dcterms:created>
  <dc:creator>LL</dc:creator>
  <cp:lastModifiedBy>lxx</cp:lastModifiedBy>
  <dcterms:modified xsi:type="dcterms:W3CDTF">2026-02-02T07:22:48Z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